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317" w:rsidRDefault="00045655" w:rsidP="001F3EA7">
      <w:pPr>
        <w:spacing w:after="120"/>
        <w:jc w:val="center"/>
        <w:rPr>
          <w:b/>
          <w:sz w:val="24"/>
          <w:szCs w:val="24"/>
        </w:rPr>
      </w:pPr>
      <w:r>
        <w:rPr>
          <w:b/>
          <w:sz w:val="24"/>
          <w:szCs w:val="24"/>
        </w:rPr>
        <w:t>REGIONAL RENEWABLE CHOICE</w:t>
      </w:r>
      <w:r w:rsidR="00302317" w:rsidRPr="00302317">
        <w:rPr>
          <w:b/>
          <w:sz w:val="24"/>
          <w:szCs w:val="24"/>
        </w:rPr>
        <w:t xml:space="preserve"> PROGRAM</w:t>
      </w:r>
      <w:r w:rsidR="005516BD">
        <w:rPr>
          <w:b/>
          <w:sz w:val="24"/>
          <w:szCs w:val="24"/>
        </w:rPr>
        <w:t xml:space="preserve"> RIDER AND AMENDMENT</w:t>
      </w:r>
    </w:p>
    <w:p w:rsidR="005516BD" w:rsidRPr="005516BD" w:rsidRDefault="005516BD" w:rsidP="001F3EA7">
      <w:pPr>
        <w:spacing w:after="120"/>
        <w:jc w:val="center"/>
        <w:rPr>
          <w:i/>
          <w:sz w:val="24"/>
          <w:szCs w:val="24"/>
        </w:rPr>
      </w:pPr>
      <w:r>
        <w:rPr>
          <w:i/>
          <w:sz w:val="24"/>
          <w:szCs w:val="24"/>
        </w:rPr>
        <w:t>to the</w:t>
      </w:r>
    </w:p>
    <w:p w:rsidR="009F361C" w:rsidRPr="00302317" w:rsidRDefault="00302317" w:rsidP="001F3EA7">
      <w:pPr>
        <w:spacing w:after="120"/>
        <w:jc w:val="center"/>
        <w:rPr>
          <w:b/>
          <w:sz w:val="24"/>
          <w:szCs w:val="24"/>
        </w:rPr>
      </w:pPr>
      <w:r w:rsidRPr="00302317">
        <w:rPr>
          <w:b/>
          <w:sz w:val="24"/>
          <w:szCs w:val="24"/>
        </w:rPr>
        <w:t xml:space="preserve">RENEWABLE AUCTION </w:t>
      </w:r>
      <w:r w:rsidR="00785DC7" w:rsidRPr="00302317">
        <w:rPr>
          <w:b/>
          <w:sz w:val="24"/>
          <w:szCs w:val="24"/>
        </w:rPr>
        <w:t>MECHANISM</w:t>
      </w:r>
      <w:r w:rsidRPr="00302317">
        <w:rPr>
          <w:b/>
          <w:sz w:val="24"/>
          <w:szCs w:val="24"/>
        </w:rPr>
        <w:t xml:space="preserve"> (RAM) POWER PURCHASE AGREEMENT</w:t>
      </w:r>
    </w:p>
    <w:p w:rsidR="005516BD" w:rsidRPr="005516BD" w:rsidRDefault="005516BD" w:rsidP="001F3EA7">
      <w:pPr>
        <w:spacing w:after="120"/>
        <w:jc w:val="center"/>
        <w:rPr>
          <w:i/>
        </w:rPr>
      </w:pPr>
      <w:r w:rsidRPr="005516BD">
        <w:rPr>
          <w:i/>
        </w:rPr>
        <w:t>between</w:t>
      </w:r>
    </w:p>
    <w:p w:rsidR="005516BD" w:rsidRPr="005516BD" w:rsidRDefault="005516BD" w:rsidP="001F3EA7">
      <w:pPr>
        <w:spacing w:after="120"/>
        <w:jc w:val="center"/>
        <w:rPr>
          <w:b/>
        </w:rPr>
      </w:pPr>
      <w:r w:rsidRPr="005516BD">
        <w:rPr>
          <w:b/>
        </w:rPr>
        <w:t>PACIFIC GAS AND ELECTRIC COMPANY</w:t>
      </w:r>
    </w:p>
    <w:p w:rsidR="005516BD" w:rsidRPr="005516BD" w:rsidRDefault="005516BD" w:rsidP="001F3EA7">
      <w:pPr>
        <w:spacing w:after="120"/>
        <w:jc w:val="center"/>
        <w:rPr>
          <w:i/>
        </w:rPr>
      </w:pPr>
      <w:r>
        <w:rPr>
          <w:i/>
        </w:rPr>
        <w:t>and</w:t>
      </w:r>
    </w:p>
    <w:p w:rsidR="005516BD" w:rsidRPr="005516BD" w:rsidRDefault="005516BD" w:rsidP="005516BD">
      <w:pPr>
        <w:jc w:val="center"/>
        <w:rPr>
          <w:b/>
        </w:rPr>
      </w:pPr>
      <w:r w:rsidRPr="005516BD">
        <w:rPr>
          <w:b/>
          <w:highlight w:val="cyan"/>
        </w:rPr>
        <w:t>[NAME OF SELLER]</w:t>
      </w:r>
    </w:p>
    <w:p w:rsidR="005516BD" w:rsidRDefault="005516BD">
      <w:r w:rsidRPr="005516BD">
        <w:t xml:space="preserve">This </w:t>
      </w:r>
      <w:r w:rsidR="0002104C" w:rsidRPr="00610992">
        <w:t xml:space="preserve">Regional Renewable Choice Program </w:t>
      </w:r>
      <w:r w:rsidRPr="00610992">
        <w:t>(“</w:t>
      </w:r>
      <w:r w:rsidR="0002104C" w:rsidRPr="00610992">
        <w:t>RRC</w:t>
      </w:r>
      <w:r w:rsidRPr="00610992">
        <w:t xml:space="preserve"> Program”) Rider </w:t>
      </w:r>
      <w:proofErr w:type="gramStart"/>
      <w:r w:rsidRPr="00610992">
        <w:t>And</w:t>
      </w:r>
      <w:proofErr w:type="gramEnd"/>
      <w:r w:rsidRPr="00610992">
        <w:t xml:space="preserve"> Amendment </w:t>
      </w:r>
      <w:r w:rsidRPr="005516BD">
        <w:t>(“</w:t>
      </w:r>
      <w:r w:rsidR="00045655">
        <w:t>RRC</w:t>
      </w:r>
      <w:r w:rsidRPr="005516BD">
        <w:t xml:space="preserve"> Rider and Amendment”) to the Agreement (as that term is defined below) dated as of the </w:t>
      </w:r>
      <w:r w:rsidR="00045655">
        <w:t>RRC</w:t>
      </w:r>
      <w:r w:rsidRPr="005516BD">
        <w:t xml:space="preserve"> Rider and Amendment Effective Date (as that term is defined below) is entered into between Pacific Gas and Electric Company, a California corporation (“PG&amp;E”), and </w:t>
      </w:r>
      <w:r w:rsidRPr="005516BD">
        <w:rPr>
          <w:highlight w:val="cyan"/>
        </w:rPr>
        <w:t>[Name of Seller]</w:t>
      </w:r>
      <w:r w:rsidRPr="005516BD">
        <w:t xml:space="preserve">, a </w:t>
      </w:r>
      <w:r w:rsidRPr="005516BD">
        <w:rPr>
          <w:highlight w:val="cyan"/>
        </w:rPr>
        <w:t>[Legal Status of Seller]</w:t>
      </w:r>
      <w:r w:rsidRPr="005516BD">
        <w:t xml:space="preserve"> (“Seller”).  PG&amp;E and Seller are hereinafter referred to individually as a “Party” and jointly as the “Parties”.  Capitalized terms used herein and not otherwise defined in this </w:t>
      </w:r>
      <w:r w:rsidR="00045655">
        <w:t>RRC</w:t>
      </w:r>
      <w:r w:rsidRPr="005516BD">
        <w:t xml:space="preserve"> Rider and Amendment shall have the meanings ascribed to such terms in the Agreement (as that term is defined below).</w:t>
      </w:r>
    </w:p>
    <w:p w:rsidR="005516BD" w:rsidRPr="005516BD" w:rsidRDefault="005516BD" w:rsidP="005516BD">
      <w:pPr>
        <w:jc w:val="center"/>
        <w:rPr>
          <w:b/>
          <w:sz w:val="24"/>
          <w:szCs w:val="24"/>
        </w:rPr>
      </w:pPr>
      <w:r w:rsidRPr="005516BD">
        <w:rPr>
          <w:b/>
          <w:sz w:val="24"/>
          <w:szCs w:val="24"/>
        </w:rPr>
        <w:t>RECITALS</w:t>
      </w:r>
    </w:p>
    <w:p w:rsidR="005516BD" w:rsidRDefault="005516BD">
      <w:r>
        <w:t xml:space="preserve">The Parties </w:t>
      </w:r>
      <w:proofErr w:type="gramStart"/>
      <w:r>
        <w:t>enter into</w:t>
      </w:r>
      <w:proofErr w:type="gramEnd"/>
      <w:r>
        <w:t xml:space="preserve"> this </w:t>
      </w:r>
      <w:r w:rsidR="00795CA7">
        <w:t>RRC</w:t>
      </w:r>
      <w:r>
        <w:t xml:space="preserve"> Rider and Amendment with reference to the following facts:</w:t>
      </w:r>
    </w:p>
    <w:p w:rsidR="005F3115" w:rsidRDefault="005F3115">
      <w:r w:rsidRPr="001E1712">
        <w:rPr>
          <w:b/>
        </w:rPr>
        <w:t>A.</w:t>
      </w:r>
      <w:r>
        <w:tab/>
        <w:t xml:space="preserve">PG&amp;E has in place a </w:t>
      </w:r>
      <w:r w:rsidRPr="005516BD">
        <w:t xml:space="preserve">Renewable </w:t>
      </w:r>
      <w:r>
        <w:t>Auction Mechanism (“RAM”)</w:t>
      </w:r>
      <w:r w:rsidRPr="005516BD">
        <w:t xml:space="preserve"> </w:t>
      </w:r>
      <w:r w:rsidR="00017961">
        <w:t xml:space="preserve">Program as </w:t>
      </w:r>
      <w:r w:rsidR="00785DC7">
        <w:t>established</w:t>
      </w:r>
      <w:r w:rsidR="00017961">
        <w:t xml:space="preserve"> by CPUC Decision 10-12-048, pursuant to which PG&amp;E has conducted multiple solicitations to procure energy from RPS eligible generators via a RAM </w:t>
      </w:r>
      <w:r w:rsidRPr="005516BD">
        <w:t>Power Purchase Agreement</w:t>
      </w:r>
      <w:r>
        <w:t xml:space="preserve"> (“RAM PPA”), </w:t>
      </w:r>
      <w:r w:rsidR="00017961">
        <w:t>most recently as set forth in Advice Letter 4605-E, as approved by the CPUC via a Disposition Letter dated June 17, 2015.</w:t>
      </w:r>
    </w:p>
    <w:p w:rsidR="005F3115" w:rsidRDefault="005F3115">
      <w:r w:rsidRPr="001E1712">
        <w:rPr>
          <w:b/>
        </w:rPr>
        <w:t>B.</w:t>
      </w:r>
      <w:r>
        <w:tab/>
        <w:t xml:space="preserve">The </w:t>
      </w:r>
      <w:r w:rsidR="00C40CF1">
        <w:t>California Public Utilities Commission in D. 16-05-006 ordered the use of the RAM solicitation to procure Enhanced Community Renewables and Enhanced Community Renewables – Environmental Justice projects until the program sunsets on December 31, 2018.</w:t>
      </w:r>
    </w:p>
    <w:p w:rsidR="0002104C" w:rsidRPr="00610992" w:rsidRDefault="0002104C">
      <w:r w:rsidRPr="00610992">
        <w:t>C.</w:t>
      </w:r>
      <w:r w:rsidRPr="00610992">
        <w:tab/>
        <w:t>PG&amp;E has chosen the name of “Regional Renewable Choice” for its own Green Tariff Shared Renewables Enhanced Community Renewables Program.</w:t>
      </w:r>
    </w:p>
    <w:p w:rsidR="005516BD" w:rsidRPr="00610992" w:rsidRDefault="0002104C">
      <w:r w:rsidRPr="00610992">
        <w:rPr>
          <w:b/>
        </w:rPr>
        <w:t>D</w:t>
      </w:r>
      <w:r w:rsidR="005516BD" w:rsidRPr="00610992">
        <w:rPr>
          <w:b/>
        </w:rPr>
        <w:t>.</w:t>
      </w:r>
      <w:r w:rsidR="005516BD" w:rsidRPr="00610992">
        <w:tab/>
        <w:t>Concurrently herewith, PG&amp;E and Seller enter into that certain</w:t>
      </w:r>
      <w:r w:rsidR="00C40CF1" w:rsidRPr="00610992">
        <w:t xml:space="preserve"> RAM PPA</w:t>
      </w:r>
      <w:r w:rsidR="006944B9" w:rsidRPr="00610992">
        <w:t xml:space="preserve"> based on PG&amp;E’s 2015 RAM PPA effective as of June 25, 2015</w:t>
      </w:r>
      <w:r w:rsidR="005516BD" w:rsidRPr="00610992">
        <w:t xml:space="preserve"> (as amended from time to time, the “Agreement”), under which, among other things, Seller will sell to PG&amp;E, and PG&amp;E will purchase from Seller, Product upon commencement of the Term, pursuant to PG&amp;E’s </w:t>
      </w:r>
      <w:r w:rsidRPr="00610992">
        <w:t>RRC</w:t>
      </w:r>
      <w:r w:rsidR="005516BD" w:rsidRPr="00610992">
        <w:t xml:space="preserve"> Pro</w:t>
      </w:r>
      <w:r w:rsidR="005F3115" w:rsidRPr="00610992">
        <w:t>gram</w:t>
      </w:r>
      <w:r w:rsidR="005516BD" w:rsidRPr="00610992">
        <w:t>.</w:t>
      </w:r>
    </w:p>
    <w:p w:rsidR="005516BD" w:rsidRDefault="0002104C">
      <w:r w:rsidRPr="00610992">
        <w:rPr>
          <w:b/>
        </w:rPr>
        <w:t>E</w:t>
      </w:r>
      <w:r w:rsidR="005516BD" w:rsidRPr="00610992">
        <w:rPr>
          <w:b/>
        </w:rPr>
        <w:t>.</w:t>
      </w:r>
      <w:r w:rsidR="005516BD" w:rsidRPr="00610992">
        <w:tab/>
      </w:r>
      <w:r w:rsidR="005F3115" w:rsidRPr="00610992">
        <w:t xml:space="preserve">The Parties seek to modify the Agreement </w:t>
      </w:r>
      <w:r w:rsidR="00C40CF1" w:rsidRPr="00610992">
        <w:t xml:space="preserve">through this Rider and Amendment </w:t>
      </w:r>
      <w:proofErr w:type="gramStart"/>
      <w:r w:rsidR="005F3115" w:rsidRPr="00610992">
        <w:t>in order to</w:t>
      </w:r>
      <w:proofErr w:type="gramEnd"/>
      <w:r w:rsidR="005F3115" w:rsidRPr="00610992">
        <w:t xml:space="preserve"> incorporate provisions </w:t>
      </w:r>
      <w:r w:rsidR="00C40CF1" w:rsidRPr="00610992">
        <w:t xml:space="preserve">directly </w:t>
      </w:r>
      <w:r w:rsidR="005F3115" w:rsidRPr="00610992">
        <w:t>related</w:t>
      </w:r>
      <w:r w:rsidR="005F3115">
        <w:t xml:space="preserve"> to </w:t>
      </w:r>
      <w:r w:rsidR="00C40CF1">
        <w:t>ECR Program</w:t>
      </w:r>
      <w:r w:rsidR="005F3115">
        <w:t>.</w:t>
      </w:r>
      <w:bookmarkStart w:id="0" w:name="_GoBack"/>
      <w:bookmarkEnd w:id="0"/>
    </w:p>
    <w:p w:rsidR="005F3115" w:rsidRPr="005F3115" w:rsidRDefault="005F3115" w:rsidP="005F3115">
      <w:pPr>
        <w:jc w:val="center"/>
        <w:rPr>
          <w:b/>
          <w:sz w:val="24"/>
          <w:szCs w:val="24"/>
        </w:rPr>
      </w:pPr>
      <w:r w:rsidRPr="005F3115">
        <w:rPr>
          <w:b/>
          <w:sz w:val="24"/>
          <w:szCs w:val="24"/>
        </w:rPr>
        <w:t>AGREEMENT</w:t>
      </w:r>
    </w:p>
    <w:p w:rsidR="005516BD" w:rsidRDefault="005F3115">
      <w:r>
        <w:t>In consideration of the promises, mutual covenants and agreements hereina</w:t>
      </w:r>
      <w:r w:rsidR="006944B9">
        <w:t>f</w:t>
      </w:r>
      <w:r>
        <w:t>ter set forth, and for other good and valuable consider</w:t>
      </w:r>
      <w:r w:rsidR="006944B9">
        <w:t>a</w:t>
      </w:r>
      <w:r>
        <w:t>tion, as set forth herein, the Parties agree to amend the Agreement as follows</w:t>
      </w:r>
      <w:r w:rsidR="006944B9">
        <w:t>:</w:t>
      </w:r>
    </w:p>
    <w:p w:rsidR="005516BD" w:rsidRDefault="00BD4DAC">
      <w:r w:rsidRPr="001E1712">
        <w:rPr>
          <w:b/>
        </w:rPr>
        <w:t>I</w:t>
      </w:r>
      <w:r w:rsidR="00B42C44" w:rsidRPr="001E1712">
        <w:rPr>
          <w:b/>
        </w:rPr>
        <w:t>.</w:t>
      </w:r>
      <w:r w:rsidR="00B42C44">
        <w:tab/>
      </w:r>
      <w:r w:rsidR="003B70AD" w:rsidRPr="001A4F00">
        <w:rPr>
          <w:u w:val="single"/>
        </w:rPr>
        <w:t>PROVISIONS WHICH DO NOT APPLY</w:t>
      </w:r>
      <w:r w:rsidR="001A4F00">
        <w:t>:  t</w:t>
      </w:r>
      <w:r w:rsidR="00B42C44">
        <w:t xml:space="preserve">he following sections of the Agreement </w:t>
      </w:r>
      <w:r w:rsidR="00A202AE">
        <w:t xml:space="preserve">are </w:t>
      </w:r>
      <w:r w:rsidR="00A202AE" w:rsidRPr="00A202AE">
        <w:rPr>
          <w:u w:val="single"/>
        </w:rPr>
        <w:t>not</w:t>
      </w:r>
      <w:r w:rsidR="00A202AE">
        <w:t xml:space="preserve"> available or d</w:t>
      </w:r>
      <w:r w:rsidR="00B42C44">
        <w:t xml:space="preserve">o </w:t>
      </w:r>
      <w:r w:rsidR="00B42C44" w:rsidRPr="00A202AE">
        <w:rPr>
          <w:u w:val="single"/>
        </w:rPr>
        <w:t>not</w:t>
      </w:r>
      <w:r w:rsidR="00B42C44">
        <w:t xml:space="preserve"> apply to </w:t>
      </w:r>
      <w:r w:rsidR="00795CA7">
        <w:t xml:space="preserve">RRC </w:t>
      </w:r>
      <w:r w:rsidR="00B42C44">
        <w:t xml:space="preserve">Projects, as that term is defined in Section </w:t>
      </w:r>
      <w:r w:rsidR="009C24DE">
        <w:t>II</w:t>
      </w:r>
      <w:r w:rsidR="009C24DE" w:rsidRPr="00701962">
        <w:t>.</w:t>
      </w:r>
      <w:r w:rsidR="005A5951" w:rsidRPr="00701962">
        <w:t>2</w:t>
      </w:r>
      <w:r w:rsidR="00EA6DDE" w:rsidRPr="00701962">
        <w:t>.2</w:t>
      </w:r>
      <w:r w:rsidR="009C24DE" w:rsidRPr="00701962">
        <w:t>.</w:t>
      </w:r>
      <w:r w:rsidR="00B42C44" w:rsidRPr="00701962">
        <w:t xml:space="preserve"> </w:t>
      </w:r>
      <w:r w:rsidR="00F02125" w:rsidRPr="00701962">
        <w:t>o</w:t>
      </w:r>
      <w:r w:rsidR="00F02125">
        <w:t>f this</w:t>
      </w:r>
      <w:r>
        <w:t xml:space="preserve"> </w:t>
      </w:r>
      <w:r w:rsidR="00795CA7">
        <w:t>RRC</w:t>
      </w:r>
      <w:r w:rsidR="00F02125">
        <w:t xml:space="preserve"> Rider and Amendment</w:t>
      </w:r>
      <w:r w:rsidR="00B42C44">
        <w:t>:</w:t>
      </w:r>
    </w:p>
    <w:p w:rsidR="00A202AE" w:rsidRDefault="001E1712" w:rsidP="00A202AE">
      <w:pPr>
        <w:pStyle w:val="RAMRiderpara1"/>
      </w:pPr>
      <w:r w:rsidRPr="001E1712">
        <w:rPr>
          <w:b/>
        </w:rPr>
        <w:lastRenderedPageBreak/>
        <w:t>1.</w:t>
      </w:r>
      <w:r w:rsidR="00A202AE">
        <w:tab/>
        <w:t>any provisions related to Excess Sale Transactions, as set forth in:</w:t>
      </w:r>
    </w:p>
    <w:p w:rsidR="00B42C44" w:rsidRDefault="001E1712" w:rsidP="00A202AE">
      <w:pPr>
        <w:pStyle w:val="RAMRiderpara11"/>
      </w:pPr>
      <w:r>
        <w:t>1.1</w:t>
      </w:r>
      <w:r w:rsidR="00A202AE">
        <w:tab/>
        <w:t>Cover Sheet of Agreement, Section A, “Excess Sale” transaction type;</w:t>
      </w:r>
    </w:p>
    <w:p w:rsidR="00A202AE" w:rsidRDefault="001E1712" w:rsidP="00A202AE">
      <w:pPr>
        <w:pStyle w:val="RAMRiderpara11"/>
      </w:pPr>
      <w:r>
        <w:t>1.2</w:t>
      </w:r>
      <w:r w:rsidR="00A202AE">
        <w:tab/>
        <w:t>Cover Sheet of Agreement, Section B, the language shown below as stricken: “</w:t>
      </w:r>
      <w:r w:rsidR="00A202AE" w:rsidRPr="00A202AE">
        <w:t xml:space="preserve">Contract Capacity: [___________] MW </w:t>
      </w:r>
      <w:r w:rsidR="00A202AE" w:rsidRPr="00A202AE">
        <w:rPr>
          <w:b/>
          <w:i/>
        </w:rPr>
        <w:t>[Provide the maximum capacity to be made available to PG&amp;E pursuant to the transaction</w:t>
      </w:r>
      <w:r w:rsidR="00A202AE" w:rsidRPr="00A202AE">
        <w:rPr>
          <w:b/>
          <w:i/>
          <w:strike/>
        </w:rPr>
        <w:t>, which in the case of an Excess Sale transaction, may be less than the maximum capacity of the Project</w:t>
      </w:r>
      <w:r w:rsidR="00A202AE" w:rsidRPr="00A202AE">
        <w:rPr>
          <w:b/>
          <w:i/>
        </w:rPr>
        <w:t>]</w:t>
      </w:r>
      <w:r w:rsidR="00A202AE">
        <w:rPr>
          <w:b/>
          <w:i/>
        </w:rPr>
        <w:t>”</w:t>
      </w:r>
      <w:r w:rsidR="006E277B" w:rsidRPr="006E277B">
        <w:t>;</w:t>
      </w:r>
    </w:p>
    <w:p w:rsidR="00B42C44" w:rsidRDefault="001E1712" w:rsidP="006E277B">
      <w:pPr>
        <w:pStyle w:val="RAMRiderpara11"/>
      </w:pPr>
      <w:r>
        <w:t>1.3</w:t>
      </w:r>
      <w:r w:rsidR="00A202AE">
        <w:tab/>
        <w:t>Cover Sheet of Agreement, Section B(i)</w:t>
      </w:r>
      <w:r w:rsidR="006E277B">
        <w:t>(a)</w:t>
      </w:r>
      <w:r w:rsidR="00A202AE">
        <w:t>(2)</w:t>
      </w:r>
      <w:r w:rsidR="006E277B">
        <w:t>;</w:t>
      </w:r>
    </w:p>
    <w:p w:rsidR="00B42C44" w:rsidRDefault="001E1712" w:rsidP="00B36319">
      <w:pPr>
        <w:pStyle w:val="RAMRiderpara11"/>
      </w:pPr>
      <w:r>
        <w:t>1.4</w:t>
      </w:r>
      <w:r w:rsidR="00B36319">
        <w:tab/>
        <w:t>Section 1.106, “Excess Sale”;</w:t>
      </w:r>
    </w:p>
    <w:p w:rsidR="00B42C44" w:rsidRDefault="001E1712" w:rsidP="00CC4906">
      <w:pPr>
        <w:pStyle w:val="RAMRiderpara11"/>
      </w:pPr>
      <w:r>
        <w:t>1.5</w:t>
      </w:r>
      <w:r w:rsidR="00CC4906">
        <w:tab/>
        <w:t>Section 3.1(b)(ii), Excess Sale;</w:t>
      </w:r>
    </w:p>
    <w:p w:rsidR="00CC4906" w:rsidRDefault="001E1712" w:rsidP="00CC4906">
      <w:pPr>
        <w:pStyle w:val="RAMRiderpara11"/>
      </w:pPr>
      <w:r>
        <w:t>1.6</w:t>
      </w:r>
      <w:r w:rsidR="00CC4906">
        <w:tab/>
      </w:r>
      <w:r w:rsidR="00F02125">
        <w:t>Section 3.1(f), Contract Capacity, applicable to Baseload Products, the language shown below as stricken</w:t>
      </w:r>
      <w:proofErr w:type="gramStart"/>
      <w:r w:rsidR="00F02125">
        <w:t xml:space="preserve">:  </w:t>
      </w:r>
      <w:r w:rsidR="00F02125" w:rsidRPr="00F02125">
        <w:rPr>
          <w:b/>
          <w:i/>
        </w:rPr>
        <w:t>[</w:t>
      </w:r>
      <w:proofErr w:type="gramEnd"/>
      <w:r w:rsidR="00F02125" w:rsidRPr="00F02125">
        <w:rPr>
          <w:b/>
          <w:i/>
        </w:rPr>
        <w:t>The following bracketed version of Section 3.1(f) “Contract Capacity” applies to all Baseload Products</w:t>
      </w:r>
      <w:r w:rsidR="00F02125" w:rsidRPr="00F02125">
        <w:rPr>
          <w:b/>
          <w:i/>
          <w:strike/>
        </w:rPr>
        <w:t xml:space="preserve"> and Excess Sale transactions of As-Available Products.</w:t>
      </w:r>
      <w:r w:rsidR="00F02125" w:rsidRPr="00F02125">
        <w:rPr>
          <w:b/>
          <w:i/>
        </w:rPr>
        <w:t>]</w:t>
      </w:r>
    </w:p>
    <w:p w:rsidR="005516BD" w:rsidRDefault="001E1712" w:rsidP="009D1B09">
      <w:pPr>
        <w:pStyle w:val="RAMRiderpara1"/>
      </w:pPr>
      <w:r w:rsidRPr="001E1712">
        <w:rPr>
          <w:b/>
        </w:rPr>
        <w:t>2.</w:t>
      </w:r>
      <w:r w:rsidR="00075342">
        <w:tab/>
        <w:t>Sections 1.39 – 1.40, “Compliance Costs” and “Compliance Cost Caps”</w:t>
      </w:r>
      <w:r w:rsidR="00F02125">
        <w:t>.</w:t>
      </w:r>
    </w:p>
    <w:p w:rsidR="00F02125" w:rsidRDefault="001E1712" w:rsidP="009D1B09">
      <w:pPr>
        <w:pStyle w:val="RAMRiderpara1"/>
      </w:pPr>
      <w:r w:rsidRPr="001E1712">
        <w:rPr>
          <w:b/>
        </w:rPr>
        <w:t>3.</w:t>
      </w:r>
      <w:r w:rsidR="00F02125">
        <w:tab/>
        <w:t xml:space="preserve">Section 3.1(o), </w:t>
      </w:r>
      <w:r w:rsidR="00F02125" w:rsidRPr="00F02125">
        <w:rPr>
          <w:u w:val="single"/>
        </w:rPr>
        <w:t>Compliance Cost Cap</w:t>
      </w:r>
      <w:r w:rsidR="00F02125" w:rsidRPr="00F02125">
        <w:t>.</w:t>
      </w:r>
    </w:p>
    <w:p w:rsidR="005516BD" w:rsidRDefault="001E1712" w:rsidP="00F02125">
      <w:pPr>
        <w:pStyle w:val="RAMRiderpara1"/>
      </w:pPr>
      <w:r w:rsidRPr="009C3369">
        <w:rPr>
          <w:b/>
        </w:rPr>
        <w:t>4.</w:t>
      </w:r>
      <w:r w:rsidR="00F02125" w:rsidRPr="009C3369">
        <w:tab/>
      </w:r>
      <w:r w:rsidR="00E16E24" w:rsidRPr="009C3369">
        <w:t>Section 10.2(c).</w:t>
      </w:r>
    </w:p>
    <w:p w:rsidR="00075342" w:rsidRDefault="00BD4DAC">
      <w:r w:rsidRPr="001E1712">
        <w:rPr>
          <w:b/>
        </w:rPr>
        <w:t>II</w:t>
      </w:r>
      <w:r w:rsidR="00075342" w:rsidRPr="001E1712">
        <w:rPr>
          <w:b/>
        </w:rPr>
        <w:t>.</w:t>
      </w:r>
      <w:r w:rsidR="00075342">
        <w:tab/>
      </w:r>
      <w:r w:rsidR="003B70AD" w:rsidRPr="001A4F00">
        <w:rPr>
          <w:u w:val="single"/>
        </w:rPr>
        <w:t>ADDITIONS AND AMENDMENTS TO THE AGREEMENT</w:t>
      </w:r>
      <w:r w:rsidR="00075342">
        <w:t xml:space="preserve">:  the sections listed below are added </w:t>
      </w:r>
      <w:r w:rsidR="009C24DE">
        <w:t xml:space="preserve">to </w:t>
      </w:r>
      <w:r w:rsidR="001A4F00">
        <w:t xml:space="preserve">or revised </w:t>
      </w:r>
      <w:r w:rsidR="00075342" w:rsidRPr="009D1B09">
        <w:rPr>
          <w:b/>
        </w:rPr>
        <w:t xml:space="preserve">for the </w:t>
      </w:r>
      <w:r w:rsidR="001A4F00" w:rsidRPr="009D1B09">
        <w:rPr>
          <w:b/>
        </w:rPr>
        <w:t xml:space="preserve">purposes of this </w:t>
      </w:r>
      <w:r w:rsidR="00795CA7">
        <w:rPr>
          <w:b/>
        </w:rPr>
        <w:t>RRC</w:t>
      </w:r>
      <w:r w:rsidR="001A4F00" w:rsidRPr="009D1B09">
        <w:rPr>
          <w:b/>
        </w:rPr>
        <w:t xml:space="preserve"> Rider and Amendment only</w:t>
      </w:r>
      <w:r w:rsidR="001A4F00">
        <w:t>.</w:t>
      </w:r>
    </w:p>
    <w:p w:rsidR="00C16D2C" w:rsidRDefault="005A5951" w:rsidP="00F567B5">
      <w:pPr>
        <w:pStyle w:val="RAMRiderpara1"/>
      </w:pPr>
      <w:r>
        <w:rPr>
          <w:b/>
        </w:rPr>
        <w:t>1.</w:t>
      </w:r>
      <w:r>
        <w:rPr>
          <w:b/>
        </w:rPr>
        <w:tab/>
      </w:r>
      <w:r w:rsidRPr="005A5951">
        <w:rPr>
          <w:u w:val="single"/>
        </w:rPr>
        <w:t>Cover Sheet</w:t>
      </w:r>
      <w:r w:rsidRPr="005A5951">
        <w:t>:</w:t>
      </w:r>
    </w:p>
    <w:p w:rsidR="005A5951" w:rsidRDefault="00C16D2C" w:rsidP="00803896">
      <w:pPr>
        <w:pStyle w:val="RAMRiderpara1"/>
        <w:ind w:firstLine="720"/>
      </w:pPr>
      <w:r>
        <w:t>1.1</w:t>
      </w:r>
      <w:r>
        <w:tab/>
      </w:r>
      <w:r w:rsidR="005A5951">
        <w:t>In Section A, for the first boxed choice under the title “Program”, delete “GTSR Program” and replace it wi</w:t>
      </w:r>
      <w:r w:rsidR="005A5951" w:rsidRPr="00610992">
        <w:t>th “</w:t>
      </w:r>
      <w:r w:rsidR="00610992" w:rsidRPr="00610992">
        <w:t>RRC</w:t>
      </w:r>
      <w:r w:rsidR="005A5951" w:rsidRPr="00610992">
        <w:t xml:space="preserve"> Program [ECR Program]”</w:t>
      </w:r>
    </w:p>
    <w:p w:rsidR="00C16D2C" w:rsidRPr="005A5951" w:rsidRDefault="00C16D2C" w:rsidP="00803896">
      <w:pPr>
        <w:pStyle w:val="RAMRiderpara1"/>
        <w:ind w:firstLine="720"/>
      </w:pPr>
      <w:r>
        <w:t>1.2</w:t>
      </w:r>
      <w:r>
        <w:tab/>
        <w:t xml:space="preserve">In Section C, </w:t>
      </w:r>
      <w:r w:rsidRPr="00803896">
        <w:rPr>
          <w:u w:val="single"/>
        </w:rPr>
        <w:t>Contract Price</w:t>
      </w:r>
      <w:r>
        <w:t>, delete the introductory sentence in its entirety and replace it with the following</w:t>
      </w:r>
      <w:proofErr w:type="gramStart"/>
      <w:r>
        <w:t>:  “</w:t>
      </w:r>
      <w:proofErr w:type="gramEnd"/>
      <w:r>
        <w:t>Subject to Articles Four and Six of this Agreement, the Contract Price for each MWh of Product as measured by Delivered Energy in each Contract Year and the price for Deemed Delivered Energy in each Contact Year shall be as follows:”</w:t>
      </w:r>
    </w:p>
    <w:p w:rsidR="009D2C18" w:rsidRDefault="005A5951" w:rsidP="00F567B5">
      <w:pPr>
        <w:pStyle w:val="RAMRiderpara1"/>
      </w:pPr>
      <w:r>
        <w:rPr>
          <w:b/>
        </w:rPr>
        <w:t>2</w:t>
      </w:r>
      <w:r w:rsidR="00F567B5" w:rsidRPr="00F567B5">
        <w:rPr>
          <w:b/>
        </w:rPr>
        <w:t>.</w:t>
      </w:r>
      <w:r w:rsidR="001A4F00">
        <w:tab/>
      </w:r>
      <w:r w:rsidR="00B36319" w:rsidRPr="00F567B5">
        <w:rPr>
          <w:u w:val="single"/>
        </w:rPr>
        <w:t>Article One</w:t>
      </w:r>
      <w:r w:rsidR="00B36319">
        <w:t>.</w:t>
      </w:r>
    </w:p>
    <w:p w:rsidR="009D2C18" w:rsidRPr="00701962" w:rsidRDefault="009D2C18" w:rsidP="00701962">
      <w:pPr>
        <w:pStyle w:val="RAMRiderpara1"/>
        <w:ind w:firstLine="720"/>
      </w:pPr>
      <w:r w:rsidRPr="00701962">
        <w:t>2.1</w:t>
      </w:r>
      <w:r w:rsidRPr="00701962">
        <w:tab/>
        <w:t>The following revisions are made to existing definitions found in Article One:</w:t>
      </w:r>
    </w:p>
    <w:p w:rsidR="009D2C18" w:rsidRPr="00701962" w:rsidRDefault="009D2C18" w:rsidP="009D2C18">
      <w:pPr>
        <w:ind w:left="720" w:firstLine="720"/>
      </w:pPr>
      <w:r w:rsidRPr="00701962">
        <w:t>1.210</w:t>
      </w:r>
      <w:r w:rsidRPr="00701962">
        <w:tab/>
        <w:t xml:space="preserve">“Project” means </w:t>
      </w:r>
      <w:proofErr w:type="gramStart"/>
      <w:r w:rsidRPr="00701962">
        <w:t>all of</w:t>
      </w:r>
      <w:proofErr w:type="gramEnd"/>
      <w:r w:rsidRPr="00701962">
        <w:t xml:space="preserve"> the Unit(s) and the Site at which the generating facility is located and the other assets, tangible and intangible, that compose the generation facility, including the assets used to connect the Unit(s) to the Interconnection Point, as more particularly described in </w:t>
      </w:r>
      <w:r w:rsidRPr="00701962">
        <w:rPr>
          <w:u w:val="single"/>
        </w:rPr>
        <w:t xml:space="preserve">Appendix </w:t>
      </w:r>
      <w:proofErr w:type="spellStart"/>
      <w:r w:rsidRPr="00701962">
        <w:rPr>
          <w:u w:val="single"/>
        </w:rPr>
        <w:t>XIII</w:t>
      </w:r>
      <w:r w:rsidRPr="00701962">
        <w:rPr>
          <w:strike/>
        </w:rPr>
        <w:t>the</w:t>
      </w:r>
      <w:proofErr w:type="spellEnd"/>
      <w:r w:rsidRPr="00701962">
        <w:rPr>
          <w:strike/>
        </w:rPr>
        <w:t xml:space="preserve"> Cover Sheet</w:t>
      </w:r>
      <w:r w:rsidRPr="00701962">
        <w:t>.</w:t>
      </w:r>
    </w:p>
    <w:p w:rsidR="009D2C18" w:rsidRPr="00701962" w:rsidRDefault="009D2C18" w:rsidP="009D2C18">
      <w:pPr>
        <w:ind w:left="720" w:firstLine="720"/>
      </w:pPr>
      <w:r w:rsidRPr="00701962">
        <w:t>1.250</w:t>
      </w:r>
      <w:r w:rsidRPr="00701962">
        <w:tab/>
        <w:t xml:space="preserve">“Site” means the location of the Project as described in </w:t>
      </w:r>
      <w:r w:rsidRPr="00701962">
        <w:rPr>
          <w:u w:val="single"/>
        </w:rPr>
        <w:t xml:space="preserve">Appendix </w:t>
      </w:r>
      <w:proofErr w:type="spellStart"/>
      <w:r w:rsidRPr="00701962">
        <w:rPr>
          <w:u w:val="single"/>
        </w:rPr>
        <w:t>XIII</w:t>
      </w:r>
      <w:r w:rsidRPr="00701962">
        <w:rPr>
          <w:strike/>
        </w:rPr>
        <w:t>the</w:t>
      </w:r>
      <w:proofErr w:type="spellEnd"/>
      <w:r w:rsidRPr="00701962">
        <w:rPr>
          <w:strike/>
        </w:rPr>
        <w:t xml:space="preserve"> Cover Sheet</w:t>
      </w:r>
      <w:r w:rsidRPr="00701962">
        <w:t xml:space="preserve">. </w:t>
      </w:r>
    </w:p>
    <w:p w:rsidR="009D2C18" w:rsidRPr="00701962" w:rsidRDefault="009D2C18" w:rsidP="009D2C18">
      <w:pPr>
        <w:ind w:left="720" w:firstLine="720"/>
      </w:pPr>
      <w:r w:rsidRPr="00701962">
        <w:t>1.269</w:t>
      </w:r>
      <w:r w:rsidRPr="00701962">
        <w:tab/>
        <w:t xml:space="preserve">“Unit” means the technology used to produce the Products, which are identified in </w:t>
      </w:r>
      <w:r w:rsidRPr="00701962">
        <w:rPr>
          <w:u w:val="single"/>
        </w:rPr>
        <w:t xml:space="preserve">Appendix </w:t>
      </w:r>
      <w:proofErr w:type="spellStart"/>
      <w:r w:rsidRPr="00701962">
        <w:rPr>
          <w:u w:val="single"/>
        </w:rPr>
        <w:t>XIII</w:t>
      </w:r>
      <w:r w:rsidRPr="00701962">
        <w:rPr>
          <w:strike/>
        </w:rPr>
        <w:t>the</w:t>
      </w:r>
      <w:proofErr w:type="spellEnd"/>
      <w:r w:rsidRPr="00701962">
        <w:rPr>
          <w:strike/>
        </w:rPr>
        <w:t xml:space="preserve"> Cover Sheet</w:t>
      </w:r>
      <w:r w:rsidRPr="00701962">
        <w:t xml:space="preserve"> for the Transaction entered into under this Agreement.</w:t>
      </w:r>
    </w:p>
    <w:p w:rsidR="00075342" w:rsidRDefault="009D2C18" w:rsidP="00701962">
      <w:pPr>
        <w:pStyle w:val="RAMRiderpara1"/>
        <w:ind w:firstLine="720"/>
      </w:pPr>
      <w:r w:rsidRPr="00701962">
        <w:lastRenderedPageBreak/>
        <w:t>2.2</w:t>
      </w:r>
      <w:r>
        <w:tab/>
      </w:r>
      <w:r w:rsidR="00B36319">
        <w:t>The language below is added to the end of Article One:</w:t>
      </w:r>
    </w:p>
    <w:p w:rsidR="00B36319" w:rsidRPr="00B36319" w:rsidRDefault="009D1B09" w:rsidP="00FB74EA">
      <w:pPr>
        <w:ind w:left="720"/>
      </w:pPr>
      <w:r>
        <w:t>“</w:t>
      </w:r>
      <w:r w:rsidR="00B36319" w:rsidRPr="00FB74EA">
        <w:rPr>
          <w:b/>
          <w:i/>
        </w:rPr>
        <w:t xml:space="preserve">[The following defined terms apply to </w:t>
      </w:r>
      <w:r w:rsidR="00795CA7">
        <w:rPr>
          <w:b/>
          <w:i/>
        </w:rPr>
        <w:t>RRC</w:t>
      </w:r>
      <w:r w:rsidR="00795CA7" w:rsidRPr="00FB74EA">
        <w:rPr>
          <w:b/>
          <w:i/>
        </w:rPr>
        <w:t xml:space="preserve"> </w:t>
      </w:r>
      <w:r w:rsidR="00B36319" w:rsidRPr="00FB74EA">
        <w:rPr>
          <w:b/>
          <w:i/>
        </w:rPr>
        <w:t>Projects ONLY:]</w:t>
      </w:r>
    </w:p>
    <w:p w:rsidR="00C16D2C" w:rsidRDefault="00C16D2C" w:rsidP="00626D54">
      <w:pPr>
        <w:ind w:left="720" w:firstLine="720"/>
      </w:pPr>
      <w:r>
        <w:t>1.277</w:t>
      </w:r>
      <w:r>
        <w:tab/>
        <w:t>“Contract Price”</w:t>
      </w:r>
      <w:r w:rsidR="00E63BC0">
        <w:t xml:space="preserve"> </w:t>
      </w:r>
      <w:r w:rsidRPr="00C16D2C">
        <w:t>means the price in United States dollars ($U.S.) (unless otherwise provided for) to be paid by Buyer to Seller for the purchase of the Product, as specified in Section 4.1 and the Cover Sheet.</w:t>
      </w:r>
      <w:r w:rsidR="00E63BC0">
        <w:t xml:space="preserve"> </w:t>
      </w:r>
      <w:r w:rsidR="00E63BC0" w:rsidRPr="00803896">
        <w:rPr>
          <w:b/>
          <w:i/>
        </w:rPr>
        <w:t>[Note:  This Section 1.277 replaces Section 1.46]</w:t>
      </w:r>
    </w:p>
    <w:p w:rsidR="00B36319" w:rsidRDefault="00B36319" w:rsidP="00626D54">
      <w:pPr>
        <w:ind w:left="720" w:firstLine="720"/>
      </w:pPr>
      <w:r>
        <w:t>1.278</w:t>
      </w:r>
      <w:r>
        <w:tab/>
        <w:t>“Customer” means a customer of Buyer who takes bundled services from Buyer including having all its power requirements purchased by Buyer, and who has signed up under the E-ECR Tariff to receive benefits from Seller’s Facility.</w:t>
      </w:r>
    </w:p>
    <w:p w:rsidR="00B36319" w:rsidRDefault="00B36319" w:rsidP="00626D54">
      <w:pPr>
        <w:ind w:left="720" w:firstLine="720"/>
      </w:pPr>
      <w:r>
        <w:t>1.279</w:t>
      </w:r>
      <w:r>
        <w:tab/>
        <w:t xml:space="preserve">“Customer-Seller Agreement”, or “CSA”, (also described in the E-ECR Tariff as a “Customer-Developer Agreement” or “CDA”) all means that agreement to be executed between Customer and Seller </w:t>
      </w:r>
      <w:proofErr w:type="gramStart"/>
      <w:r>
        <w:t>in order for</w:t>
      </w:r>
      <w:proofErr w:type="gramEnd"/>
      <w:r>
        <w:t xml:space="preserve"> Customer to Subscribe to Seller’s Facility, which shall be subject to those requirements set forth within Section 3.1(r) of this Agreement. Buyer shall not be a party to the Customer-Seller Agreement. </w:t>
      </w:r>
    </w:p>
    <w:p w:rsidR="00E63BC0" w:rsidRDefault="00E63BC0" w:rsidP="00626D54">
      <w:pPr>
        <w:ind w:left="720" w:firstLine="720"/>
      </w:pPr>
      <w:r>
        <w:t>1.28</w:t>
      </w:r>
      <w:r w:rsidR="00292B0A">
        <w:t>0</w:t>
      </w:r>
      <w:r>
        <w:tab/>
        <w:t xml:space="preserve">“Damage Payment” means </w:t>
      </w:r>
      <w:r w:rsidRPr="00803896">
        <w:rPr>
          <w:b/>
          <w:i/>
        </w:rPr>
        <w:t>[</w:t>
      </w:r>
      <w:r w:rsidRPr="00E63BC0">
        <w:t xml:space="preserve">$20/kW for </w:t>
      </w:r>
      <w:r w:rsidR="00795CA7">
        <w:t>RRC</w:t>
      </w:r>
      <w:r w:rsidR="00795CA7" w:rsidRPr="00E63BC0">
        <w:t xml:space="preserve"> </w:t>
      </w:r>
      <w:r w:rsidRPr="00E63BC0">
        <w:t>Projects with Contract Capacity of three (3) MW and under multiplied by the capacity of the Project as reflected in Section B of the Cover Sheet</w:t>
      </w:r>
      <w:r w:rsidRPr="00803896">
        <w:rPr>
          <w:b/>
          <w:i/>
        </w:rPr>
        <w:t>][</w:t>
      </w:r>
      <w:r w:rsidRPr="00E63BC0">
        <w:t xml:space="preserve">$60/kW for As-Available resources or $90/kW for Baseload resources for </w:t>
      </w:r>
      <w:r w:rsidR="00795CA7">
        <w:t>RRC</w:t>
      </w:r>
      <w:r w:rsidR="00795CA7" w:rsidRPr="00E63BC0">
        <w:t xml:space="preserve"> </w:t>
      </w:r>
      <w:r w:rsidRPr="00E63BC0">
        <w:t>Projects with Contract Capacity over three (3) MW multiplied by the capacity of the Project as reflected in Section B of the Cover Sheet</w:t>
      </w:r>
      <w:r w:rsidRPr="00803896">
        <w:rPr>
          <w:b/>
          <w:i/>
        </w:rPr>
        <w:t>]</w:t>
      </w:r>
      <w:r w:rsidRPr="00E63BC0">
        <w:t xml:space="preserve">. </w:t>
      </w:r>
      <w:r w:rsidRPr="00803896">
        <w:rPr>
          <w:b/>
          <w:i/>
        </w:rPr>
        <w:t xml:space="preserve">[Select bracketed language appropriate for the size of the </w:t>
      </w:r>
      <w:r w:rsidR="00795CA7">
        <w:rPr>
          <w:b/>
          <w:i/>
        </w:rPr>
        <w:t>RRC</w:t>
      </w:r>
      <w:r w:rsidR="00795CA7" w:rsidRPr="00803896">
        <w:rPr>
          <w:b/>
          <w:i/>
        </w:rPr>
        <w:t xml:space="preserve"> </w:t>
      </w:r>
      <w:r w:rsidRPr="00803896">
        <w:rPr>
          <w:b/>
          <w:i/>
        </w:rPr>
        <w:t>Project]</w:t>
      </w:r>
      <w:r w:rsidRPr="00E63BC0">
        <w:t>.</w:t>
      </w:r>
      <w:r>
        <w:t xml:space="preserve"> </w:t>
      </w:r>
      <w:r w:rsidRPr="00803896">
        <w:rPr>
          <w:b/>
          <w:i/>
        </w:rPr>
        <w:t xml:space="preserve"> [Note:  this Section 1.28</w:t>
      </w:r>
      <w:r w:rsidR="00292B0A">
        <w:rPr>
          <w:b/>
          <w:i/>
        </w:rPr>
        <w:t>0</w:t>
      </w:r>
      <w:r w:rsidRPr="00803896">
        <w:rPr>
          <w:b/>
          <w:i/>
        </w:rPr>
        <w:t xml:space="preserve"> replaces Section 1.60.]</w:t>
      </w:r>
    </w:p>
    <w:p w:rsidR="00B36319" w:rsidRDefault="00B36319" w:rsidP="00626D54">
      <w:pPr>
        <w:ind w:left="720" w:firstLine="720"/>
      </w:pPr>
      <w:r>
        <w:t>1.28</w:t>
      </w:r>
      <w:r w:rsidR="00292B0A">
        <w:t>1</w:t>
      </w:r>
      <w:r>
        <w:tab/>
        <w:t>“Deemed Delivered Energy Price” shall be the same as the Contract Price.</w:t>
      </w:r>
    </w:p>
    <w:p w:rsidR="00B36319" w:rsidRDefault="00B36319" w:rsidP="00626D54">
      <w:pPr>
        <w:ind w:left="720" w:firstLine="720"/>
      </w:pPr>
      <w:r>
        <w:t>1.28</w:t>
      </w:r>
      <w:r w:rsidR="00292B0A">
        <w:t>2</w:t>
      </w:r>
      <w:r>
        <w:tab/>
        <w:t>“Default Load Aggregation Point” or “DLAP” has the meaning set forth in the CAISO Tariff.</w:t>
      </w:r>
    </w:p>
    <w:p w:rsidR="00B36319" w:rsidRDefault="00B36319" w:rsidP="00626D54">
      <w:pPr>
        <w:ind w:left="720" w:firstLine="720"/>
      </w:pPr>
      <w:r>
        <w:t>1.28</w:t>
      </w:r>
      <w:r w:rsidR="00292B0A">
        <w:t>3</w:t>
      </w:r>
      <w:r>
        <w:tab/>
        <w:t xml:space="preserve">“Default Load Aggregation Point Price” or “DLAP Price” means the hourly Integrated Forward Market Default Load Aggregation Point Locational Marginal Price </w:t>
      </w:r>
      <w:r w:rsidR="00E63BC0">
        <w:t xml:space="preserve">in $/MWh </w:t>
      </w:r>
      <w:r>
        <w:t>as determined by the CAISO for the Buyer’s applicable CAISO Transmission Access Charge Area.</w:t>
      </w:r>
    </w:p>
    <w:p w:rsidR="00B36319" w:rsidRDefault="00B36319" w:rsidP="00626D54">
      <w:pPr>
        <w:ind w:left="720" w:firstLine="720"/>
      </w:pPr>
      <w:r>
        <w:t>1.28</w:t>
      </w:r>
      <w:r w:rsidR="00292B0A">
        <w:t>4</w:t>
      </w:r>
      <w:r>
        <w:tab/>
        <w:t>“Disclosure Documents” means those disclosure documents required by Green-e® Energy to be provided by Seller to Customers and potential Customers, as they may be amended, supplemented or replaced from time to time, as set forth on the Green-e Energy© website at http://green-e.org/verif_docs.html or any successor webpage.</w:t>
      </w:r>
    </w:p>
    <w:p w:rsidR="00B36319" w:rsidRDefault="00B36319" w:rsidP="00626D54">
      <w:pPr>
        <w:ind w:left="720" w:firstLine="720"/>
      </w:pPr>
      <w:r>
        <w:t>1.28</w:t>
      </w:r>
      <w:r w:rsidR="00292B0A">
        <w:t>5</w:t>
      </w:r>
      <w:r>
        <w:tab/>
        <w:t xml:space="preserve">“ECR Program” means the Enhanced Community Renewables program implemented per Senate Bill (SB) 43 (Stats. 2013, </w:t>
      </w:r>
      <w:proofErr w:type="spellStart"/>
      <w:r>
        <w:t>ch.</w:t>
      </w:r>
      <w:proofErr w:type="spellEnd"/>
      <w:r>
        <w:t xml:space="preserve"> 413 (</w:t>
      </w:r>
      <w:proofErr w:type="spellStart"/>
      <w:r>
        <w:t>Wolk</w:t>
      </w:r>
      <w:proofErr w:type="spellEnd"/>
      <w:r>
        <w:t>)) and CPUC Decision 15-01-051.</w:t>
      </w:r>
    </w:p>
    <w:p w:rsidR="00A200E3" w:rsidRDefault="00B36319" w:rsidP="00626D54">
      <w:pPr>
        <w:ind w:left="720" w:firstLine="720"/>
      </w:pPr>
      <w:r>
        <w:t>1.28</w:t>
      </w:r>
      <w:r w:rsidR="007D3183">
        <w:t>6</w:t>
      </w:r>
      <w:r>
        <w:tab/>
      </w:r>
      <w:r w:rsidR="00A200E3">
        <w:t>“E-ECR Tariff” means that tariff available to customers of Buyer, between Buyer and customer, such that customers may become a Customer of Seller’s Facility.</w:t>
      </w:r>
      <w:r w:rsidR="008957FA">
        <w:t xml:space="preserve"> </w:t>
      </w:r>
    </w:p>
    <w:p w:rsidR="00A200E3" w:rsidRDefault="00B36319" w:rsidP="00626D54">
      <w:pPr>
        <w:ind w:left="720" w:firstLine="720"/>
      </w:pPr>
      <w:r>
        <w:t>1.28</w:t>
      </w:r>
      <w:r w:rsidR="007D3183">
        <w:t>7</w:t>
      </w:r>
      <w:r>
        <w:tab/>
      </w:r>
      <w:r w:rsidR="00A200E3">
        <w:t>“FTC” means the Federal Trade Commission.</w:t>
      </w:r>
    </w:p>
    <w:p w:rsidR="00A200E3" w:rsidRDefault="00B36319" w:rsidP="00626D54">
      <w:pPr>
        <w:ind w:left="720" w:firstLine="720"/>
      </w:pPr>
      <w:r>
        <w:t>1.2</w:t>
      </w:r>
      <w:r w:rsidR="00292B0A">
        <w:t>8</w:t>
      </w:r>
      <w:r w:rsidR="007D3183">
        <w:t>8</w:t>
      </w:r>
      <w:r>
        <w:tab/>
      </w:r>
      <w:r w:rsidR="00A200E3">
        <w:t xml:space="preserve">“FTC Green Guides” means those guiding documents published on the FTC website intended to provide guidance on (a) general principles applicable to environmental </w:t>
      </w:r>
      <w:r w:rsidR="00A200E3">
        <w:lastRenderedPageBreak/>
        <w:t xml:space="preserve">marketing claims, (b) how consumers are likely to interpret </w:t>
      </w:r>
      <w:proofErr w:type="gramStart"/>
      <w:r w:rsidR="00A200E3">
        <w:t>particular claims</w:t>
      </w:r>
      <w:proofErr w:type="gramEnd"/>
      <w:r w:rsidR="00A200E3">
        <w:t xml:space="preserve"> and how marketers can substantiate these claims, and (c) how marketers can qualify their claims to avoid deceiving customers.</w:t>
      </w:r>
    </w:p>
    <w:p w:rsidR="00B36319" w:rsidRDefault="00A200E3" w:rsidP="00626D54">
      <w:pPr>
        <w:ind w:left="720" w:firstLine="720"/>
      </w:pPr>
      <w:r>
        <w:t>1.2</w:t>
      </w:r>
      <w:r w:rsidR="007D3183">
        <w:t>8</w:t>
      </w:r>
      <w:r w:rsidR="00080130">
        <w:t>9</w:t>
      </w:r>
      <w:r>
        <w:tab/>
      </w:r>
      <w:r w:rsidR="00B36319">
        <w:t>“Minimum Subscription Requirement” has the meaning set forth in Section 6.3.</w:t>
      </w:r>
    </w:p>
    <w:p w:rsidR="00B36319" w:rsidRDefault="00B36319" w:rsidP="00626D54">
      <w:pPr>
        <w:ind w:left="720" w:firstLine="720"/>
      </w:pPr>
      <w:r>
        <w:t>1.2</w:t>
      </w:r>
      <w:r w:rsidR="00A200E3">
        <w:t>9</w:t>
      </w:r>
      <w:r w:rsidR="007D3183">
        <w:t>0</w:t>
      </w:r>
      <w:r>
        <w:tab/>
        <w:t>“Renewable Energy Credit Market Price” means ten dollars per megawatt hour ($10/MWh).</w:t>
      </w:r>
    </w:p>
    <w:p w:rsidR="007D3183" w:rsidRDefault="007D3183" w:rsidP="007D3183">
      <w:pPr>
        <w:ind w:left="720" w:firstLine="720"/>
      </w:pPr>
      <w:r w:rsidRPr="00610992">
        <w:t>1.2</w:t>
      </w:r>
      <w:r>
        <w:t>91</w:t>
      </w:r>
      <w:r w:rsidRPr="00610992">
        <w:tab/>
        <w:t>“RRC Project” means a Project that qualifies for PG&amp;E’s Regional Renewable Choice Program, the unique name PG&amp;E has chosen for its CPUC mandated ECR Program.</w:t>
      </w:r>
    </w:p>
    <w:p w:rsidR="00B36319" w:rsidRDefault="00B36319" w:rsidP="00626D54">
      <w:pPr>
        <w:ind w:left="720" w:firstLine="720"/>
      </w:pPr>
      <w:r>
        <w:t>1.29</w:t>
      </w:r>
      <w:r w:rsidR="00292B0A">
        <w:t>2</w:t>
      </w:r>
      <w:r>
        <w:tab/>
        <w:t>“Subscribed Capacity” has the meaning set forth in Section 3.10(b).</w:t>
      </w:r>
    </w:p>
    <w:p w:rsidR="00B36319" w:rsidRDefault="00A200E3" w:rsidP="00626D54">
      <w:pPr>
        <w:ind w:left="720" w:firstLine="720"/>
      </w:pPr>
      <w:r>
        <w:t>1.29</w:t>
      </w:r>
      <w:r w:rsidR="00292B0A">
        <w:t>3</w:t>
      </w:r>
      <w:r w:rsidR="00B36319">
        <w:tab/>
        <w:t xml:space="preserve">“Subscribed Delivered Energy” means the quotient of Subscribed Capacity divided by Contract Capacity, multiplied by </w:t>
      </w:r>
      <w:r w:rsidR="00E63BC0">
        <w:t xml:space="preserve">the sum of Deemed Delivered Energy and </w:t>
      </w:r>
      <w:r w:rsidR="00B36319">
        <w:t>Delivered Energy recorded by the meter specified in Section 3.6, as applicable, in all hours for the TOD Period being calculated, measured in kWh.</w:t>
      </w:r>
    </w:p>
    <w:p w:rsidR="00B36319" w:rsidRDefault="00A200E3" w:rsidP="00626D54">
      <w:pPr>
        <w:ind w:left="720" w:firstLine="720"/>
      </w:pPr>
      <w:r>
        <w:t>1.29</w:t>
      </w:r>
      <w:r w:rsidR="00292B0A">
        <w:t>4</w:t>
      </w:r>
      <w:r w:rsidR="00B36319">
        <w:tab/>
        <w:t>“Subscription”, “Subscribe”, “Subscribed” and other grammatical variations thereof means:</w:t>
      </w:r>
    </w:p>
    <w:p w:rsidR="00B36319" w:rsidRDefault="00B36319" w:rsidP="00626D54">
      <w:pPr>
        <w:ind w:left="720" w:firstLine="1440"/>
      </w:pPr>
      <w:r>
        <w:t>(a)</w:t>
      </w:r>
      <w:r>
        <w:tab/>
        <w:t xml:space="preserve">in the case of a capacity-based subscription business model employed in the CSA, the subscription that a Customer has signed up for, expressed in kW. </w:t>
      </w:r>
    </w:p>
    <w:p w:rsidR="00B36319" w:rsidRDefault="00B36319" w:rsidP="00626D54">
      <w:pPr>
        <w:ind w:left="720" w:firstLine="1440"/>
      </w:pPr>
      <w:r>
        <w:t>(b)</w:t>
      </w:r>
      <w:r>
        <w:tab/>
        <w:t xml:space="preserve">in the case of an energy-based subscription business model employed in the CSA, the subscription that a Customer has signed up for (expressed in kWh), multiplied by the Contract Capacity (expressed in kW), divided by the Contract Quantity (expressed in kWh/year), multiplied by 12 months/year, the product of which shall be equal to the Subscription of the Customer, expressed in kW. </w:t>
      </w:r>
    </w:p>
    <w:p w:rsidR="00B36319" w:rsidRDefault="00B36319" w:rsidP="00F567B5">
      <w:pPr>
        <w:ind w:left="720"/>
        <w:jc w:val="center"/>
      </w:pPr>
      <w:r>
        <w:t xml:space="preserve">Example:  </w:t>
      </w:r>
      <w:r w:rsidRPr="00C37502">
        <w:rPr>
          <w:i/>
        </w:rPr>
        <w:t>Load × [Contract Capacity/Contract Quantity] × 12 months = Subscription</w:t>
      </w:r>
    </w:p>
    <w:p w:rsidR="00B36319" w:rsidRDefault="00B36319" w:rsidP="00626D54">
      <w:pPr>
        <w:ind w:left="720" w:firstLine="720"/>
      </w:pPr>
      <w:r>
        <w:t>1.29</w:t>
      </w:r>
      <w:r w:rsidR="00292B0A">
        <w:t>5</w:t>
      </w:r>
      <w:r>
        <w:tab/>
        <w:t xml:space="preserve">“Subscription Information and Bill Credit Instructions” mean the information required to be provided by Seller to Buyer in accordance with Section 3.10 as set forth in the form provided in </w:t>
      </w:r>
      <w:r w:rsidRPr="00C37502">
        <w:rPr>
          <w:u w:val="single"/>
        </w:rPr>
        <w:t>Appendix XV</w:t>
      </w:r>
      <w:r>
        <w:t>.</w:t>
      </w:r>
    </w:p>
    <w:p w:rsidR="00B36319" w:rsidRDefault="00B36319" w:rsidP="00626D54">
      <w:pPr>
        <w:ind w:left="720" w:firstLine="720"/>
      </w:pPr>
      <w:r>
        <w:t>1.29</w:t>
      </w:r>
      <w:r w:rsidR="00292B0A">
        <w:t>6</w:t>
      </w:r>
      <w:r>
        <w:tab/>
        <w:t>“Unsubscribed Capacity” has the meaning set forth in Section 3.10(c).</w:t>
      </w:r>
    </w:p>
    <w:p w:rsidR="00B36319" w:rsidRDefault="00A200E3" w:rsidP="00626D54">
      <w:pPr>
        <w:ind w:left="720" w:firstLine="720"/>
      </w:pPr>
      <w:r>
        <w:t>1.29</w:t>
      </w:r>
      <w:r w:rsidR="00292B0A">
        <w:t>7</w:t>
      </w:r>
      <w:r w:rsidR="00B36319">
        <w:tab/>
        <w:t xml:space="preserve">“Unsubscribed Delivered Energy” means the quotient of Unsubscribed Capacity divided by Contract Capacity, multiplied by </w:t>
      </w:r>
      <w:r w:rsidR="00E63BC0">
        <w:t xml:space="preserve">the sum of Deemed Delivered Energy and </w:t>
      </w:r>
      <w:r w:rsidR="00B36319">
        <w:t>Delivered Energy recorded by the meter specified in Section 3.6, as applicable, in all hours for the TOD Period being calculated, measured in kWh.</w:t>
      </w:r>
    </w:p>
    <w:p w:rsidR="00B36319" w:rsidRDefault="00B36319" w:rsidP="00626D54">
      <w:pPr>
        <w:ind w:left="720" w:firstLine="720"/>
      </w:pPr>
      <w:r>
        <w:t>1.29</w:t>
      </w:r>
      <w:r w:rsidR="00292B0A">
        <w:t>8</w:t>
      </w:r>
      <w:r>
        <w:tab/>
        <w:t xml:space="preserve">“Unsubscribed Energy Price” means the </w:t>
      </w:r>
      <w:r w:rsidR="00E63BC0">
        <w:t xml:space="preserve">lesser of (a) the </w:t>
      </w:r>
      <w:r>
        <w:t>DLAP Price plus the Renewable Energy Credit Market Price</w:t>
      </w:r>
      <w:r w:rsidR="00E63BC0">
        <w:t xml:space="preserve"> or (b) the </w:t>
      </w:r>
      <w:r w:rsidR="00E63BC0" w:rsidRPr="00E63BC0">
        <w:t>Contract Price times the TOD Factor for the applicable TOD Period, as set forth in Section 4.1(a)(ii)</w:t>
      </w:r>
      <w:r>
        <w:t>.</w:t>
      </w:r>
      <w:r w:rsidR="009D1B09" w:rsidRPr="009D1B09">
        <w:rPr>
          <w:b/>
          <w:i/>
        </w:rPr>
        <w:t>”</w:t>
      </w:r>
    </w:p>
    <w:p w:rsidR="00075342" w:rsidRDefault="005A5951" w:rsidP="00937C31">
      <w:pPr>
        <w:pStyle w:val="RAMRiderpara1"/>
        <w:keepNext/>
      </w:pPr>
      <w:r>
        <w:rPr>
          <w:b/>
        </w:rPr>
        <w:lastRenderedPageBreak/>
        <w:t>3</w:t>
      </w:r>
      <w:r w:rsidR="00F567B5" w:rsidRPr="00F567B5">
        <w:rPr>
          <w:b/>
        </w:rPr>
        <w:t>.</w:t>
      </w:r>
      <w:r w:rsidR="009D1B09">
        <w:tab/>
        <w:t>A new Subsection (a) is added to Section 2.4:</w:t>
      </w:r>
    </w:p>
    <w:p w:rsidR="009D1B09" w:rsidRDefault="009D1B09" w:rsidP="00B34887">
      <w:pPr>
        <w:ind w:left="720" w:firstLine="720"/>
      </w:pPr>
      <w:r>
        <w:t>“</w:t>
      </w:r>
      <w:r w:rsidRPr="009D1B09">
        <w:t>(a)</w:t>
      </w:r>
      <w:r w:rsidRPr="009D1B09">
        <w:tab/>
      </w:r>
      <w:r w:rsidRPr="009D1B09">
        <w:rPr>
          <w:u w:val="single"/>
        </w:rPr>
        <w:t>No Partnership or Joint Venture</w:t>
      </w:r>
      <w:r w:rsidRPr="009D1B09">
        <w:t xml:space="preserve">.  Nothing contained in this Agreement shall be construed as creating any relationship whatsoever between Buyer and Seller, including that of partners, </w:t>
      </w:r>
      <w:proofErr w:type="spellStart"/>
      <w:r w:rsidRPr="009D1B09">
        <w:t>coemployment</w:t>
      </w:r>
      <w:proofErr w:type="spellEnd"/>
      <w:r w:rsidRPr="009D1B09">
        <w:t>, or joint venture parties.</w:t>
      </w:r>
      <w:r>
        <w:t>”</w:t>
      </w:r>
    </w:p>
    <w:p w:rsidR="009D1B09" w:rsidRDefault="005A5951" w:rsidP="00FB74EA">
      <w:pPr>
        <w:pStyle w:val="RAMRiderpara1"/>
      </w:pPr>
      <w:r>
        <w:rPr>
          <w:b/>
        </w:rPr>
        <w:t>4</w:t>
      </w:r>
      <w:r w:rsidR="00F567B5" w:rsidRPr="00F567B5">
        <w:rPr>
          <w:b/>
        </w:rPr>
        <w:t>.</w:t>
      </w:r>
      <w:r w:rsidR="009D1B09">
        <w:tab/>
        <w:t>Section 2.6(b) is deleted in its entirety and replaced as shown below:</w:t>
      </w:r>
    </w:p>
    <w:p w:rsidR="009D1B09" w:rsidRPr="005402ED" w:rsidRDefault="009D1B09" w:rsidP="005402ED">
      <w:pPr>
        <w:ind w:left="720" w:firstLine="720"/>
      </w:pPr>
      <w:r w:rsidRPr="005402ED">
        <w:t>“(b)</w:t>
      </w:r>
      <w:r w:rsidRPr="005402ED">
        <w:tab/>
        <w:t>Notwithstanding anything to the contrary in this Agreement, (i) all rights under Section 10.5 (“Indemnities”) and any other indemnity rights shall survive the Satisfaction Date or the end of the Term (whichever is later) for an additional twelve (12) months; (ii) all rights and obligations under Section 10.7 (“Confidentiality”) shall survive the Satisfaction Date or the end of the Term (whichever is later) for an additional two (2) years; (iii) the right of first offer in Section 11.1(b) shall survive the Satisfaction Date for three (3) years.; (iv) the obligations in Section 3.1(r) (“Customer Seller Agreement Required Provisions”) shall survive for an additional three (3) years; and (v) the obligations in Section 3.1(s) (“Green-e® Energy Certification”) shall survive for an additional three (3) years.”</w:t>
      </w:r>
    </w:p>
    <w:p w:rsidR="009D1B09" w:rsidRDefault="005A5951" w:rsidP="00FB74EA">
      <w:pPr>
        <w:pStyle w:val="RAMRiderpara1"/>
      </w:pPr>
      <w:r>
        <w:rPr>
          <w:b/>
        </w:rPr>
        <w:t>5</w:t>
      </w:r>
      <w:r w:rsidR="00F567B5" w:rsidRPr="00F567B5">
        <w:rPr>
          <w:b/>
        </w:rPr>
        <w:t>.</w:t>
      </w:r>
      <w:r w:rsidR="00CC4906">
        <w:tab/>
        <w:t xml:space="preserve">Section 3.1(b): The first </w:t>
      </w:r>
      <w:r w:rsidR="00080130">
        <w:t xml:space="preserve">two </w:t>
      </w:r>
      <w:r w:rsidR="00CC4906">
        <w:t>sentence</w:t>
      </w:r>
      <w:r w:rsidR="00080130">
        <w:t>s</w:t>
      </w:r>
      <w:r w:rsidR="00CC4906">
        <w:t xml:space="preserve"> </w:t>
      </w:r>
      <w:r w:rsidR="00080130">
        <w:t>are</w:t>
      </w:r>
      <w:r w:rsidR="00CC4906">
        <w:t xml:space="preserve"> deleted in </w:t>
      </w:r>
      <w:r w:rsidR="00080130">
        <w:t>their</w:t>
      </w:r>
      <w:r w:rsidR="00CC4906">
        <w:t xml:space="preserve"> entirety and replaced with the following:</w:t>
      </w:r>
    </w:p>
    <w:p w:rsidR="00CC4906" w:rsidRPr="005402ED" w:rsidRDefault="00CC4906" w:rsidP="005402ED">
      <w:pPr>
        <w:ind w:left="720" w:firstLine="720"/>
      </w:pPr>
      <w:r w:rsidRPr="005402ED">
        <w:t>“Unless specifically excused by the terms of this Agreement during the Delivery Term, Seller shall sell and deliver, or cause to be delivered, and Buyer shall purchase and receive, or cause to be received, the Product at the Delivery Point, pursuant to Seller’s election in the Cover Sheet of a Full Buy/Sell arrangement as described in paragraph 3.1(b)</w:t>
      </w:r>
      <w:r w:rsidR="00080130">
        <w:t>(i)</w:t>
      </w:r>
      <w:r w:rsidRPr="005402ED">
        <w:t xml:space="preserve"> below.</w:t>
      </w:r>
      <w:r w:rsidR="00080130">
        <w:t xml:space="preserve">  Buyer shall pay Seller the Contract Price or Unsubscribed Energy Price in accordance with the terms of this Agreement.</w:t>
      </w:r>
      <w:r w:rsidRPr="005402ED">
        <w:t>”</w:t>
      </w:r>
    </w:p>
    <w:p w:rsidR="00CC4906" w:rsidRDefault="005A5951" w:rsidP="00FB74EA">
      <w:pPr>
        <w:pStyle w:val="RAMRiderpara1"/>
      </w:pPr>
      <w:r>
        <w:rPr>
          <w:b/>
        </w:rPr>
        <w:t>6</w:t>
      </w:r>
      <w:r w:rsidR="00F567B5" w:rsidRPr="00F567B5">
        <w:rPr>
          <w:b/>
        </w:rPr>
        <w:t>.</w:t>
      </w:r>
      <w:r w:rsidR="00CC4906">
        <w:tab/>
        <w:t>Section 3.1(c)(i) is deleted in its entirety and replaced with the following:</w:t>
      </w:r>
    </w:p>
    <w:p w:rsidR="00CC4906" w:rsidRPr="005402ED" w:rsidRDefault="000A4017" w:rsidP="005402ED">
      <w:pPr>
        <w:ind w:left="720" w:firstLine="720"/>
      </w:pPr>
      <w:r w:rsidRPr="005402ED">
        <w:t>“</w:t>
      </w:r>
      <w:r w:rsidR="00CC4906" w:rsidRPr="005402ED">
        <w:t>(i)</w:t>
      </w:r>
      <w:r w:rsidR="00CC4906" w:rsidRPr="005402ED">
        <w:tab/>
      </w:r>
      <w:r w:rsidR="00CC4906" w:rsidRPr="005402ED">
        <w:rPr>
          <w:u w:val="single"/>
        </w:rPr>
        <w:t>Delivery Term and Initial Energy Delivery Date</w:t>
      </w:r>
      <w:r w:rsidR="00CC4906" w:rsidRPr="005402ED">
        <w:t>.  As used herein, “Delivery Term” shall mean the period of Contract Years specified on the Cover Sheet, beginning on the first date that Buyer accepts delivery of the Product from the Project in connection with this Agreement following Seller’s demonstration of satisfaction of the items listed below in this Section 3.1(c)(i) (“Initial Energy Delivery Date”) and continuing until the end of the tenth, fifteenth, or twentieth Contract Year (as applicable, based on the Cover Sheet election) unless terminated pursuant to the terms of this Agreement; provided that the Expected Initial Energy Delivery Date may be extended pursuant to Section 3.1(c)(ii)</w:t>
      </w:r>
      <w:r w:rsidR="00080130">
        <w:t xml:space="preserve"> further provided that the Initial Energy Delivery Date may only occur on the first </w:t>
      </w:r>
      <w:r w:rsidR="00785DC7">
        <w:t>calendar day</w:t>
      </w:r>
      <w:r w:rsidR="00080130">
        <w:t xml:space="preserve"> of a month</w:t>
      </w:r>
      <w:r w:rsidR="00CC4906" w:rsidRPr="005402ED">
        <w:t xml:space="preserve">.  The Initial Energy Delivery Date shall be the later of the (A) date that the Buyer receives the "Initial Energy Delivery Date Confirmation Letter" attached hereto as </w:t>
      </w:r>
      <w:r w:rsidR="00CC4906" w:rsidRPr="005402ED">
        <w:rPr>
          <w:u w:val="single"/>
        </w:rPr>
        <w:t>Appendix II</w:t>
      </w:r>
      <w:r w:rsidR="00CC4906" w:rsidRPr="005402ED">
        <w:t xml:space="preserve"> and (B) the date listed as the Initial Energy Delivery Date on the Initial Energy Delivery Date Confirmation Letter. The Initial Energy Delivery Date shall occur as soon as practicable once all of the following have been satisfied:  (I) Seller notifies Buyer that Commercial Operation has occurred; (II) Buyer shall have received and accepted the Delivery Term Security or Term Security, as applicable, in accordance with the relevant provisions of Article Eight of the Agreement, as applicable; (III) Seller shall have obtained the requisite CEC Certification and Verification for the Project and Seller shall have demonstrated submission and approval of documents and information to CRS necessary for </w:t>
      </w:r>
      <w:r w:rsidR="00CC4906" w:rsidRPr="00610992">
        <w:t xml:space="preserve">the </w:t>
      </w:r>
      <w:r w:rsidR="0002104C" w:rsidRPr="00610992">
        <w:t xml:space="preserve">RRC </w:t>
      </w:r>
      <w:r w:rsidR="00CC4906" w:rsidRPr="00610992">
        <w:t>Pr</w:t>
      </w:r>
      <w:r w:rsidR="00CC4906" w:rsidRPr="005402ED">
        <w:t>oject to receive an eligibility designation for Buyer’s Green-e® Energy Certification</w:t>
      </w:r>
      <w:r w:rsidRPr="005402ED">
        <w:t xml:space="preserve">; </w:t>
      </w:r>
      <w:r w:rsidR="00CC4906" w:rsidRPr="005402ED">
        <w:t xml:space="preserve">(IV) all of the applicable Conditions Precedent in Section 2.5(a) have been satisfied or waived in writing; (V) for resources that are already under a contract as of the Execution Date, that existing </w:t>
      </w:r>
      <w:r w:rsidR="00CC4906" w:rsidRPr="005402ED">
        <w:lastRenderedPageBreak/>
        <w:t>contract must have expired by its own terms before the Initial Energy Delivery Date; (VI) Seller shall have demonstrated satisfaction of Seller’s other obligations in this Agreement that commence prior to or as of the Delivery Term; (VII) Seller has satisfied all of the requirements of Section 3.1(c)(iii); and (VIII) unless Seller has been directed by Buyer to not participate in the Parti</w:t>
      </w:r>
      <w:r w:rsidR="00463550">
        <w:t>cipating Intermittent Resource p</w:t>
      </w:r>
      <w:r w:rsidR="00CC4906" w:rsidRPr="005402ED">
        <w:t>rogram, Buyer shall have received written notice from the CAISO that the Project is certified as a Participating Intermittent Resource to the extent the Parti</w:t>
      </w:r>
      <w:r w:rsidR="00463550">
        <w:t>cipating Intermittent Resource p</w:t>
      </w:r>
      <w:r w:rsidR="00CC4906" w:rsidRPr="005402ED">
        <w:t>rogram exists for the Project’s technology type at such time as the condition</w:t>
      </w:r>
      <w:r w:rsidRPr="005402ED">
        <w:t>s in subsections (I) through (</w:t>
      </w:r>
      <w:r w:rsidR="00CC4906" w:rsidRPr="005402ED">
        <w:t xml:space="preserve">VII) of this Section 3.1(c)(i) are satisfied. </w:t>
      </w:r>
      <w:r w:rsidR="00CC4906" w:rsidRPr="005402ED">
        <w:rPr>
          <w:b/>
          <w:i/>
        </w:rPr>
        <w:t>[Subsection (VIII) applicable to solar, wind, or hydro Projects only]</w:t>
      </w:r>
      <w:r w:rsidRPr="005402ED">
        <w:t>”</w:t>
      </w:r>
    </w:p>
    <w:p w:rsidR="00CC4906" w:rsidRDefault="005A5951" w:rsidP="00803896">
      <w:pPr>
        <w:pStyle w:val="RAMRiderpara1"/>
        <w:keepNext/>
      </w:pPr>
      <w:r>
        <w:rPr>
          <w:b/>
        </w:rPr>
        <w:t>7</w:t>
      </w:r>
      <w:r w:rsidR="00FB74EA" w:rsidRPr="00FB74EA">
        <w:rPr>
          <w:b/>
        </w:rPr>
        <w:t>.</w:t>
      </w:r>
      <w:r w:rsidR="000A4017">
        <w:tab/>
        <w:t>A new Subsection (iii) is added to Section 3.1(c) as follows:</w:t>
      </w:r>
    </w:p>
    <w:p w:rsidR="000A4017" w:rsidRDefault="000A4017" w:rsidP="005402ED">
      <w:pPr>
        <w:ind w:left="1440"/>
      </w:pPr>
      <w:r>
        <w:t>“(iii)</w:t>
      </w:r>
      <w:r>
        <w:tab/>
      </w:r>
      <w:r w:rsidRPr="005402ED">
        <w:rPr>
          <w:u w:val="single"/>
        </w:rPr>
        <w:t>Customer Information</w:t>
      </w:r>
      <w:r>
        <w:t>.</w:t>
      </w:r>
    </w:p>
    <w:p w:rsidR="000A4017" w:rsidRPr="005402ED" w:rsidRDefault="000A4017" w:rsidP="00C37502">
      <w:pPr>
        <w:ind w:left="720" w:firstLine="1440"/>
      </w:pPr>
      <w:r w:rsidRPr="005402ED">
        <w:t>(A)</w:t>
      </w:r>
      <w:r w:rsidRPr="005402ED">
        <w:tab/>
        <w:t xml:space="preserve">Seller has delivered to Buyer </w:t>
      </w:r>
      <w:r w:rsidR="002D2416">
        <w:t>in accordance with Section 3.10(a)</w:t>
      </w:r>
      <w:r w:rsidRPr="005402ED">
        <w:t xml:space="preserve"> the Subscription Information and Bill Credit Instructions </w:t>
      </w:r>
      <w:r w:rsidR="00624C70">
        <w:t>for delivery prior to the Commercial Operation Date</w:t>
      </w:r>
      <w:r w:rsidRPr="005402ED">
        <w:t>;</w:t>
      </w:r>
    </w:p>
    <w:p w:rsidR="000A4017" w:rsidRPr="005402ED" w:rsidRDefault="000A4017" w:rsidP="00C37502">
      <w:pPr>
        <w:ind w:left="720" w:firstLine="1440"/>
      </w:pPr>
      <w:r w:rsidRPr="005402ED">
        <w:t>(B)</w:t>
      </w:r>
      <w:r w:rsidRPr="005402ED">
        <w:tab/>
        <w:t>Buyer has confirmed in writing that it has verified, with respect to each Subscribed Customer listed in the Subscription Information and Bill Credit Instructions delivered pursuant to Section 3.1(c)(iii)(A) that: (I) such Customer has enrolled in Buyer’s E-ECR Tariff; and (II) the Subscription amount for such Customer (1) does not exceed one hundred twenty percent (120%) of such Customer’s forecasted annual load, as such load is reasonably determined by Buyer based on historical usage data, and (2) is projected to be in an amount of energy per year equal to or greater than: (x) 100 kWh per month on average, calculated on an annual basis or (y) twenty five percent (25%) of such Customer’s load;</w:t>
      </w:r>
    </w:p>
    <w:p w:rsidR="00960B03" w:rsidRPr="00701962" w:rsidRDefault="000A4017" w:rsidP="00A76614">
      <w:pPr>
        <w:ind w:left="720" w:firstLine="1440"/>
      </w:pPr>
      <w:r w:rsidRPr="00701962">
        <w:t>(C)</w:t>
      </w:r>
      <w:r w:rsidRPr="00701962">
        <w:tab/>
        <w:t>Seller has delivered to Buyer an original legal opinion, in form and substance acceptable to Buyer, and addressed to Buyer</w:t>
      </w:r>
      <w:r w:rsidR="00683A10" w:rsidRPr="00701962">
        <w:t>.</w:t>
      </w:r>
      <w:r w:rsidRPr="00701962">
        <w:t xml:space="preserve"> </w:t>
      </w:r>
      <w:r w:rsidR="00683A10" w:rsidRPr="00701962">
        <w:t xml:space="preserve">The legal opinion shall state </w:t>
      </w:r>
      <w:r w:rsidRPr="00701962">
        <w:t xml:space="preserve">that the transactions between the Customers and Seller: </w:t>
      </w:r>
      <w:r w:rsidR="00683A10" w:rsidRPr="00701962">
        <w:t xml:space="preserve">either </w:t>
      </w:r>
      <w:r w:rsidRPr="00701962">
        <w:t>(</w:t>
      </w:r>
      <w:r w:rsidR="00960B03" w:rsidRPr="00701962">
        <w:t>I</w:t>
      </w:r>
      <w:r w:rsidRPr="00701962">
        <w:t>) do not involve the offer or sale of “securities” under California or federal law,</w:t>
      </w:r>
      <w:r w:rsidR="00683A10" w:rsidRPr="00701962">
        <w:t xml:space="preserve"> or,</w:t>
      </w:r>
      <w:r w:rsidRPr="00701962">
        <w:t xml:space="preserve"> (</w:t>
      </w:r>
      <w:r w:rsidR="00960B03" w:rsidRPr="00701962">
        <w:t>II</w:t>
      </w:r>
      <w:r w:rsidRPr="00701962">
        <w:t>)</w:t>
      </w:r>
      <w:r w:rsidR="00683A10" w:rsidRPr="00701962">
        <w:t xml:space="preserve"> to the extent that such transaction</w:t>
      </w:r>
      <w:r w:rsidR="00564DF1" w:rsidRPr="00701962">
        <w:t>s</w:t>
      </w:r>
      <w:r w:rsidR="00683A10" w:rsidRPr="00701962">
        <w:t xml:space="preserve"> involve the offer </w:t>
      </w:r>
      <w:r w:rsidR="00EA0023" w:rsidRPr="00701962">
        <w:t>or</w:t>
      </w:r>
      <w:r w:rsidR="00683A10" w:rsidRPr="00701962">
        <w:t xml:space="preserve"> sale of securities under California or federal law, the transactions (</w:t>
      </w:r>
      <w:r w:rsidR="00960B03" w:rsidRPr="00701962">
        <w:t>1</w:t>
      </w:r>
      <w:r w:rsidR="00683A10" w:rsidRPr="00701962">
        <w:t>)</w:t>
      </w:r>
      <w:r w:rsidRPr="00701962">
        <w:t xml:space="preserve"> involve the offer or sale of securities that are registered under federal securities law and exempt from qualification under California securities law,</w:t>
      </w:r>
      <w:r w:rsidR="00683A10" w:rsidRPr="00701962">
        <w:t xml:space="preserve"> (</w:t>
      </w:r>
      <w:r w:rsidR="00960B03" w:rsidRPr="00701962">
        <w:t>2</w:t>
      </w:r>
      <w:r w:rsidR="00683A10" w:rsidRPr="00701962">
        <w:t xml:space="preserve">) involve the offer or sale of securities that are registered under federal securities law and are qualified under California securities law, </w:t>
      </w:r>
      <w:r w:rsidRPr="00701962">
        <w:t xml:space="preserve"> (</w:t>
      </w:r>
      <w:r w:rsidR="00960B03" w:rsidRPr="00701962">
        <w:t>3</w:t>
      </w:r>
      <w:r w:rsidRPr="00701962">
        <w:t>) involve the offer or sale of securities that are exempt from registration under federal securities law and are qualified under California securities law, or (</w:t>
      </w:r>
      <w:r w:rsidR="00960B03" w:rsidRPr="00701962">
        <w:t>4</w:t>
      </w:r>
      <w:r w:rsidRPr="00701962">
        <w:t>) involve the off</w:t>
      </w:r>
      <w:r w:rsidRPr="005402ED">
        <w:t>er or sale of securities</w:t>
      </w:r>
      <w:r w:rsidR="00683A10">
        <w:t xml:space="preserve"> that are</w:t>
      </w:r>
      <w:r w:rsidRPr="005402ED">
        <w:t xml:space="preserve"> exempt from registration under federal securities law and exempt from qualification under California securities law, as applicable.  The legal opinion may not contain any exceptions or qualifications unacceptable to Buyer in its reasonable discretion.  The Seller must submit to Buyer an attestation from an officer of Seller that the fact certificate provided by an officer of the Seller to the law firm issuing the legal opinion is true and complete and that Seller’s business model with Customers is, a</w:t>
      </w:r>
      <w:r w:rsidRPr="00701962">
        <w:t>nd throughout the Delivery Term will be, as described in the legal opinion.</w:t>
      </w:r>
    </w:p>
    <w:p w:rsidR="00A76614" w:rsidRPr="00701962" w:rsidRDefault="00960B03" w:rsidP="00A76614">
      <w:pPr>
        <w:ind w:left="720" w:firstLine="1440"/>
      </w:pPr>
      <w:r w:rsidRPr="00701962">
        <w:t>(D)</w:t>
      </w:r>
      <w:r w:rsidRPr="00701962">
        <w:tab/>
      </w:r>
      <w:r w:rsidR="00A76614" w:rsidRPr="00701962">
        <w:t>With respect to the legal opinion delivered pursuant to Section 3.1</w:t>
      </w:r>
      <w:r w:rsidRPr="00701962">
        <w:t>(c)(iii)(C)</w:t>
      </w:r>
      <w:r w:rsidR="00A76614" w:rsidRPr="00701962">
        <w:t xml:space="preserve"> Seller hereby represents and covenants that:</w:t>
      </w:r>
    </w:p>
    <w:p w:rsidR="00A76614" w:rsidRPr="00701962" w:rsidRDefault="00A76614" w:rsidP="00960B03">
      <w:pPr>
        <w:ind w:left="720" w:firstLine="2160"/>
      </w:pPr>
      <w:r w:rsidRPr="00701962">
        <w:t>(</w:t>
      </w:r>
      <w:r w:rsidR="00960B03" w:rsidRPr="00701962">
        <w:t>I</w:t>
      </w:r>
      <w:r w:rsidRPr="00701962">
        <w:t>)</w:t>
      </w:r>
      <w:r w:rsidR="00960B03" w:rsidRPr="00701962">
        <w:tab/>
      </w:r>
      <w:r w:rsidRPr="00701962">
        <w:t>The lawyer primarily responsible for the issuance of the opinion has, within the last eight (8) years, practiced federal and California</w:t>
      </w:r>
      <w:r w:rsidR="00103370" w:rsidRPr="00701962">
        <w:t xml:space="preserve"> </w:t>
      </w:r>
      <w:r w:rsidRPr="00701962">
        <w:t xml:space="preserve">securities law as a significant portion of their practice (meaning at least five (5) full-time years), and such experience included registering or qualifying offerings or sales of securities, effecting private placements of securities, </w:t>
      </w:r>
      <w:r w:rsidRPr="00701962">
        <w:lastRenderedPageBreak/>
        <w:t>and/or advising issuers or sellers of securities with respect to exemptions from qualification and registration requirements;</w:t>
      </w:r>
    </w:p>
    <w:p w:rsidR="00A76614" w:rsidRPr="00701962" w:rsidRDefault="00A76614" w:rsidP="00960B03">
      <w:pPr>
        <w:ind w:left="720" w:firstLine="2160"/>
      </w:pPr>
      <w:r w:rsidRPr="00701962">
        <w:t>(</w:t>
      </w:r>
      <w:r w:rsidR="00960B03" w:rsidRPr="00701962">
        <w:t>II</w:t>
      </w:r>
      <w:r w:rsidRPr="00701962">
        <w:t>)</w:t>
      </w:r>
      <w:r w:rsidR="00960B03" w:rsidRPr="00701962">
        <w:tab/>
      </w:r>
      <w:r w:rsidRPr="00701962">
        <w:t>The lawyer primarily responsible for issuance of the opinion is licensed to practice law in California and the lawyer’s license is active and not under suspension; and</w:t>
      </w:r>
    </w:p>
    <w:p w:rsidR="00A76614" w:rsidRPr="005402ED" w:rsidRDefault="00A76614" w:rsidP="00960B03">
      <w:pPr>
        <w:ind w:left="720" w:firstLine="2160"/>
      </w:pPr>
      <w:r w:rsidRPr="00701962">
        <w:t>(</w:t>
      </w:r>
      <w:r w:rsidR="00960B03" w:rsidRPr="00701962">
        <w:t>III</w:t>
      </w:r>
      <w:r w:rsidRPr="00701962">
        <w:t>)</w:t>
      </w:r>
      <w:r w:rsidR="00960B03" w:rsidRPr="00701962">
        <w:tab/>
      </w:r>
      <w:r w:rsidRPr="00701962">
        <w:t xml:space="preserve">The law firm issuing the opinion carries a minimum of </w:t>
      </w:r>
      <w:r w:rsidR="00960B03" w:rsidRPr="00701962">
        <w:t>ten</w:t>
      </w:r>
      <w:r w:rsidRPr="00701962">
        <w:t xml:space="preserve"> million </w:t>
      </w:r>
      <w:r w:rsidR="00960B03" w:rsidRPr="00701962">
        <w:t xml:space="preserve">dollars ($10,000,000.00) </w:t>
      </w:r>
      <w:r w:rsidRPr="00701962">
        <w:t>in professional liability insurance coverage that includes coverage for securities practice.</w:t>
      </w:r>
    </w:p>
    <w:p w:rsidR="00080130" w:rsidRDefault="00080130" w:rsidP="00FB74EA">
      <w:pPr>
        <w:pStyle w:val="RAMRiderpara1"/>
      </w:pPr>
      <w:r>
        <w:rPr>
          <w:b/>
        </w:rPr>
        <w:t>8.</w:t>
      </w:r>
      <w:r w:rsidRPr="00803896">
        <w:tab/>
        <w:t>Section 3.1(p)</w:t>
      </w:r>
      <w:r>
        <w:t xml:space="preserve">(ii), </w:t>
      </w:r>
      <w:r w:rsidRPr="00803896">
        <w:rPr>
          <w:u w:val="single"/>
        </w:rPr>
        <w:t>Failure to Comply</w:t>
      </w:r>
      <w:r>
        <w:t>, is deleted in its entirety and replaced with the following:</w:t>
      </w:r>
    </w:p>
    <w:p w:rsidR="00C21AC6" w:rsidRPr="00C37502" w:rsidRDefault="001B575D" w:rsidP="00C21AC6">
      <w:pPr>
        <w:ind w:left="720" w:firstLine="720"/>
      </w:pPr>
      <w:r>
        <w:t>“</w:t>
      </w:r>
      <w:r w:rsidR="00C21AC6">
        <w:t>(ii)</w:t>
      </w:r>
      <w:r w:rsidR="00C21AC6">
        <w:tab/>
      </w:r>
      <w:r w:rsidR="00080130" w:rsidRPr="00080130">
        <w:t>If Seller fails to comply with a Buyer Curtailment Order, Buyer Bid Curtailment or Curtailment Order provided in compliance with Section 3.1(p)(i), then, for each MWh of Delivered Energy that the Project generated in contradiction to the Buyer Curtailment Order, Buyer Bid Curtailment or Curtailment Order, Seller shall pay Buyer for each such MWh at an amount equal to the sum of (A) + (B) + (C), where:  (A) is the amount, if any, paid to Seller by Buyer for delivery of such MWh (for example, the Contract Price adjusted by TOD Factors or Unsubscribed Energy Price, as applicable) and, (B) is the absolute value of the Real-Time Price for the applicable PNode, if such price is negative, for the Buyer Curtailment Period or Curtailment Period and, (C) is any penalties or other charges resulting from Seller’s failure to comply with the Buyer Curtailment Order, Buyer Bid Curtailment or Curtailment Order.</w:t>
      </w:r>
      <w:r>
        <w:t>”</w:t>
      </w:r>
      <w:r w:rsidR="00C21AC6" w:rsidRPr="00C21AC6">
        <w:t xml:space="preserve"> </w:t>
      </w:r>
    </w:p>
    <w:p w:rsidR="000A4017" w:rsidRDefault="00080130" w:rsidP="00FB74EA">
      <w:pPr>
        <w:pStyle w:val="RAMRiderpara1"/>
      </w:pPr>
      <w:r>
        <w:rPr>
          <w:b/>
        </w:rPr>
        <w:t>9</w:t>
      </w:r>
      <w:r w:rsidR="00FB74EA" w:rsidRPr="00FB74EA">
        <w:rPr>
          <w:b/>
        </w:rPr>
        <w:t>.</w:t>
      </w:r>
      <w:r w:rsidR="000A4017">
        <w:tab/>
      </w:r>
      <w:r w:rsidR="00F02125">
        <w:t xml:space="preserve">Section 3.1(r), </w:t>
      </w:r>
      <w:r w:rsidR="00F02125" w:rsidRPr="00F02125">
        <w:rPr>
          <w:u w:val="single"/>
        </w:rPr>
        <w:t>Green-e</w:t>
      </w:r>
      <w:r w:rsidR="00F02125" w:rsidRPr="00F02125">
        <w:rPr>
          <w:rFonts w:cs="Times New Roman"/>
          <w:u w:val="single"/>
        </w:rPr>
        <w:t>®</w:t>
      </w:r>
      <w:r w:rsidR="00F02125" w:rsidRPr="00F02125">
        <w:rPr>
          <w:u w:val="single"/>
        </w:rPr>
        <w:t xml:space="preserve"> Certification</w:t>
      </w:r>
      <w:r w:rsidR="00F02125">
        <w:t>, is deleted in its entirety and replaced by new Sections 3.1(r) and 3.1(s)</w:t>
      </w:r>
      <w:r w:rsidR="00CE7684">
        <w:t>,</w:t>
      </w:r>
      <w:r w:rsidR="00F02125">
        <w:t xml:space="preserve"> </w:t>
      </w:r>
      <w:r w:rsidR="00CE7684">
        <w:t xml:space="preserve">which are found in </w:t>
      </w:r>
      <w:r w:rsidR="00CE7684" w:rsidRPr="003B70AD">
        <w:rPr>
          <w:u w:val="single"/>
        </w:rPr>
        <w:t xml:space="preserve">Attachment </w:t>
      </w:r>
      <w:r w:rsidR="00CE7684">
        <w:rPr>
          <w:u w:val="single"/>
        </w:rPr>
        <w:t>1</w:t>
      </w:r>
      <w:r w:rsidR="00CE7684">
        <w:t xml:space="preserve"> to this </w:t>
      </w:r>
      <w:r w:rsidR="00795CA7">
        <w:t>RRC</w:t>
      </w:r>
      <w:r w:rsidR="00CE7684">
        <w:t xml:space="preserve"> Rider and Amendment.</w:t>
      </w:r>
    </w:p>
    <w:p w:rsidR="00F02125" w:rsidRDefault="00080130" w:rsidP="00FB74EA">
      <w:pPr>
        <w:pStyle w:val="RAMRiderpara1"/>
      </w:pPr>
      <w:r>
        <w:rPr>
          <w:b/>
        </w:rPr>
        <w:t>10</w:t>
      </w:r>
      <w:r w:rsidR="00FB74EA" w:rsidRPr="00FB74EA">
        <w:rPr>
          <w:b/>
        </w:rPr>
        <w:t>.</w:t>
      </w:r>
      <w:r w:rsidR="00B04B95">
        <w:tab/>
        <w:t>Section 3.9(c)(i) is deleted in its entirety and replaced with the following:</w:t>
      </w:r>
    </w:p>
    <w:p w:rsidR="00B04B95" w:rsidRPr="00C37502" w:rsidRDefault="00B04B95" w:rsidP="00C37502">
      <w:pPr>
        <w:ind w:left="720" w:firstLine="720"/>
      </w:pPr>
      <w:r w:rsidRPr="00C37502">
        <w:t>“(i)</w:t>
      </w:r>
      <w:r w:rsidRPr="00C37502">
        <w:tab/>
        <w:t xml:space="preserve">The Parties agree time is of the essence </w:t>
      </w:r>
      <w:proofErr w:type="gramStart"/>
      <w:r w:rsidRPr="00C37502">
        <w:t>in regards to</w:t>
      </w:r>
      <w:proofErr w:type="gramEnd"/>
      <w:r w:rsidRPr="00C37502">
        <w:t xml:space="preserve"> the Agreement.  As such, Seller shall have demonstrated Commercial Operation per the terms of Appendix IV-2 by the date that is no later than thirty-six (36) months after the Effective Date of this Agreement, except as such date may be extended on a day for day basis for not more than a cumulative six (6) month period for a Permitted Extension (the “Guaranteed Commercial Operation Date”).”</w:t>
      </w:r>
    </w:p>
    <w:p w:rsidR="00F02125" w:rsidRDefault="005A5951" w:rsidP="00FB74EA">
      <w:pPr>
        <w:pStyle w:val="RAMRiderpara1"/>
      </w:pPr>
      <w:r>
        <w:rPr>
          <w:b/>
        </w:rPr>
        <w:t>1</w:t>
      </w:r>
      <w:r w:rsidR="00A42245">
        <w:rPr>
          <w:b/>
        </w:rPr>
        <w:t>1</w:t>
      </w:r>
      <w:r w:rsidR="00FB74EA" w:rsidRPr="00FB74EA">
        <w:rPr>
          <w:b/>
        </w:rPr>
        <w:t>.</w:t>
      </w:r>
      <w:r w:rsidR="00B04B95">
        <w:tab/>
        <w:t>Section 3.9(c)(</w:t>
      </w:r>
      <w:r w:rsidR="00440B95">
        <w:t>v</w:t>
      </w:r>
      <w:r w:rsidR="00B04B95">
        <w:t>) is deleted in its entirety and replaced with the following:</w:t>
      </w:r>
    </w:p>
    <w:p w:rsidR="00C37502" w:rsidRPr="00C37502" w:rsidRDefault="00440B95" w:rsidP="00C37502">
      <w:pPr>
        <w:ind w:left="720" w:firstLine="720"/>
      </w:pPr>
      <w:r>
        <w:t>“</w:t>
      </w:r>
      <w:r w:rsidRPr="00440B95">
        <w:t>(v)</w:t>
      </w:r>
      <w:r w:rsidRPr="00440B95">
        <w:tab/>
      </w:r>
      <w:r w:rsidRPr="00440B95">
        <w:rPr>
          <w:u w:val="single"/>
        </w:rPr>
        <w:t>Failure to Meet Guaranteed Commercial Operation Date</w:t>
      </w:r>
      <w:r w:rsidRPr="00440B95">
        <w:t>.  Seller shall cause the Project to achieve the Commercial Operation Date by the Guara</w:t>
      </w:r>
      <w:r>
        <w:t>nteed Commercial Operation Date</w:t>
      </w:r>
      <w:r w:rsidRPr="00440B95">
        <w:t>.  If the Commercial Operation Date occurs after the Guaranteed Commercial Operation Date after giving effect to Permitted Extensions or Force Majeure, then Buyer shall be entitled to declare an Event of Default and collect a Termination Payment pursuant to Article Five.</w:t>
      </w:r>
      <w:r>
        <w:t>”</w:t>
      </w:r>
      <w:r w:rsidR="00C37502" w:rsidRPr="00C37502">
        <w:t xml:space="preserve"> </w:t>
      </w:r>
    </w:p>
    <w:p w:rsidR="00F02125" w:rsidRDefault="00CD0F9E" w:rsidP="00FB74EA">
      <w:pPr>
        <w:pStyle w:val="RAMRiderpara1"/>
      </w:pPr>
      <w:r w:rsidRPr="00FB74EA">
        <w:rPr>
          <w:b/>
        </w:rPr>
        <w:t>1</w:t>
      </w:r>
      <w:r w:rsidR="00A42245">
        <w:rPr>
          <w:b/>
        </w:rPr>
        <w:t>2</w:t>
      </w:r>
      <w:r w:rsidR="00FB74EA" w:rsidRPr="00FB74EA">
        <w:rPr>
          <w:b/>
        </w:rPr>
        <w:t>.</w:t>
      </w:r>
      <w:r w:rsidR="00440B95">
        <w:tab/>
        <w:t>A new Section 3.10 is added as shown below:</w:t>
      </w:r>
    </w:p>
    <w:p w:rsidR="00C1719F" w:rsidRPr="00C37502" w:rsidRDefault="00440B95" w:rsidP="00C1719F">
      <w:pPr>
        <w:ind w:left="720" w:firstLine="720"/>
      </w:pPr>
      <w:r>
        <w:t>“3.10</w:t>
      </w:r>
      <w:r>
        <w:tab/>
      </w:r>
      <w:r w:rsidRPr="00440B95">
        <w:rPr>
          <w:u w:val="single"/>
        </w:rPr>
        <w:t>Subscription Information and Bill Credit Instructions</w:t>
      </w:r>
      <w:r>
        <w:t>.</w:t>
      </w:r>
      <w:r w:rsidR="00C1719F" w:rsidRPr="00C1719F">
        <w:t xml:space="preserve"> </w:t>
      </w:r>
    </w:p>
    <w:p w:rsidR="008D750B" w:rsidRPr="005402ED" w:rsidRDefault="00440B95" w:rsidP="008D750B">
      <w:pPr>
        <w:ind w:left="720" w:firstLine="1440"/>
      </w:pPr>
      <w:r>
        <w:t>(a)</w:t>
      </w:r>
      <w:r>
        <w:tab/>
        <w:t xml:space="preserve">Seller shall provide Buyer with Subscription Information and Bill Credit Instructions </w:t>
      </w:r>
      <w:r w:rsidR="00624C70">
        <w:t xml:space="preserve">electronically </w:t>
      </w:r>
      <w:r>
        <w:t xml:space="preserve">in the format set forth in </w:t>
      </w:r>
      <w:r w:rsidRPr="00440B95">
        <w:rPr>
          <w:u w:val="single"/>
        </w:rPr>
        <w:t>Appendix XV</w:t>
      </w:r>
      <w:r>
        <w:t xml:space="preserve"> (as such </w:t>
      </w:r>
      <w:r w:rsidRPr="00440B95">
        <w:rPr>
          <w:u w:val="single"/>
        </w:rPr>
        <w:t>Appendix XV</w:t>
      </w:r>
      <w:r>
        <w:t xml:space="preserve"> may be modified by the Buyer in its reasonable discretion to reflect updates to its business practices) setting forth, with respect to each of Seller’s Customers for the Project, the information required </w:t>
      </w:r>
      <w:r>
        <w:lastRenderedPageBreak/>
        <w:t xml:space="preserve">in </w:t>
      </w:r>
      <w:r w:rsidRPr="00440B95">
        <w:rPr>
          <w:u w:val="single"/>
        </w:rPr>
        <w:t>Appendix XV</w:t>
      </w:r>
      <w:r w:rsidR="00C21AC6">
        <w:rPr>
          <w:u w:val="single"/>
        </w:rPr>
        <w:t>.</w:t>
      </w:r>
      <w:r w:rsidR="00C21AC6">
        <w:t xml:space="preserve"> </w:t>
      </w:r>
      <w:r>
        <w:t xml:space="preserve"> </w:t>
      </w:r>
      <w:r w:rsidR="00C21AC6">
        <w:t xml:space="preserve">The </w:t>
      </w:r>
      <w:r>
        <w:t xml:space="preserve">Subscription Information and Bill Credit Instructions </w:t>
      </w:r>
      <w:r w:rsidR="00624C70">
        <w:t>must</w:t>
      </w:r>
      <w:r>
        <w:t xml:space="preserve"> be delivered no later than sixty (60) days prior to the Commercial Operation Date and, thereafter, ten (10) Business Days after the first day of each calendar month, with respect to the prior calendar month.  Following the Execution Date, Seller may include Subscription Information and Bill Credit Instructions for Seller’s Customers for the Project who are located anywhere in Buyer’s then current service territory.</w:t>
      </w:r>
      <w:r w:rsidR="008D750B" w:rsidRPr="008D750B">
        <w:t xml:space="preserve"> </w:t>
      </w:r>
    </w:p>
    <w:p w:rsidR="008D750B" w:rsidRPr="005402ED" w:rsidRDefault="00440B95" w:rsidP="008D750B">
      <w:pPr>
        <w:ind w:left="720" w:firstLine="1440"/>
      </w:pPr>
      <w:r>
        <w:t>(b)</w:t>
      </w:r>
      <w:r>
        <w:tab/>
        <w:t>The aggregate Subscription level of all Customers with Subscriptions to the Facility for each month represents the “Subscribed Capacity” for the Facility.</w:t>
      </w:r>
      <w:r w:rsidR="008D750B" w:rsidRPr="008D750B">
        <w:t xml:space="preserve"> </w:t>
      </w:r>
    </w:p>
    <w:p w:rsidR="008D750B" w:rsidRPr="005402ED" w:rsidRDefault="00440B95" w:rsidP="008D750B">
      <w:pPr>
        <w:ind w:left="720" w:firstLine="1440"/>
      </w:pPr>
      <w:r>
        <w:t>(c)</w:t>
      </w:r>
      <w:r>
        <w:tab/>
        <w:t>The Contract Capacity less the Subscribed Capacity for each billing month represents the “Unsubscribed Capacity” for the Facility.”</w:t>
      </w:r>
      <w:r w:rsidR="008D750B" w:rsidRPr="008D750B">
        <w:t xml:space="preserve"> </w:t>
      </w:r>
    </w:p>
    <w:p w:rsidR="00440B95" w:rsidRDefault="00CD0F9E" w:rsidP="00FB74EA">
      <w:pPr>
        <w:pStyle w:val="RAMRiderpara1"/>
      </w:pPr>
      <w:r w:rsidRPr="00FB74EA">
        <w:rPr>
          <w:b/>
        </w:rPr>
        <w:t>1</w:t>
      </w:r>
      <w:r w:rsidR="00A42245">
        <w:rPr>
          <w:b/>
        </w:rPr>
        <w:t>3</w:t>
      </w:r>
      <w:r w:rsidR="00FB74EA" w:rsidRPr="00FB74EA">
        <w:rPr>
          <w:b/>
        </w:rPr>
        <w:t>.</w:t>
      </w:r>
      <w:r w:rsidR="00440B95">
        <w:tab/>
        <w:t xml:space="preserve">Section 4.1(a), </w:t>
      </w:r>
      <w:r w:rsidR="00440B95" w:rsidRPr="00440B95">
        <w:rPr>
          <w:u w:val="single"/>
        </w:rPr>
        <w:t>Contract Price</w:t>
      </w:r>
      <w:r w:rsidR="00440B95">
        <w:t xml:space="preserve"> is deleted in its entirety and replaced with the following:</w:t>
      </w:r>
    </w:p>
    <w:p w:rsidR="00C1719F" w:rsidRPr="00C37502" w:rsidRDefault="00C1719F" w:rsidP="00C1719F">
      <w:pPr>
        <w:ind w:left="720" w:firstLine="720"/>
      </w:pPr>
      <w:r>
        <w:t>“</w:t>
      </w:r>
      <w:r w:rsidR="00440B95">
        <w:t>(a)</w:t>
      </w:r>
      <w:r w:rsidR="00440B95">
        <w:tab/>
      </w:r>
      <w:r w:rsidR="00440B95" w:rsidRPr="00440B95">
        <w:rPr>
          <w:u w:val="single"/>
        </w:rPr>
        <w:t>Contract Price</w:t>
      </w:r>
      <w:r w:rsidR="00440B95">
        <w:t>.</w:t>
      </w:r>
      <w:r w:rsidRPr="00C1719F">
        <w:t xml:space="preserve"> </w:t>
      </w:r>
    </w:p>
    <w:p w:rsidR="008D750B" w:rsidRPr="005402ED" w:rsidRDefault="00440B95" w:rsidP="008D750B">
      <w:pPr>
        <w:ind w:left="720" w:firstLine="1440"/>
      </w:pPr>
      <w:r>
        <w:t>(i)</w:t>
      </w:r>
      <w:r>
        <w:tab/>
      </w:r>
      <w:r w:rsidR="00252B5C">
        <w:t>Subject to Article Six, t</w:t>
      </w:r>
      <w:r>
        <w:t xml:space="preserve">he price for Subscribed Delivered Energy is </w:t>
      </w:r>
      <w:r w:rsidR="00252B5C">
        <w:t xml:space="preserve">the </w:t>
      </w:r>
      <w:r>
        <w:t>dollars</w:t>
      </w:r>
      <w:r w:rsidR="00252B5C">
        <w:t xml:space="preserve"> per MWh set forth on the Cover Sheet</w:t>
      </w:r>
      <w:r>
        <w:t xml:space="preserve"> (the “Contract Price”) multiplied by the </w:t>
      </w:r>
      <w:r w:rsidR="00252B5C">
        <w:t>TOD</w:t>
      </w:r>
      <w:r>
        <w:t xml:space="preserve"> Factor for the TOD Period being calculated</w:t>
      </w:r>
      <w:r w:rsidR="00252B5C">
        <w:t>, as described below in Section 4.4</w:t>
      </w:r>
      <w:r>
        <w:t>.</w:t>
      </w:r>
      <w:r w:rsidR="00252B5C">
        <w:t xml:space="preserve">  For the avoidance of doubt, Seller shall not be compensated for any Surplus Delivered Energy.</w:t>
      </w:r>
      <w:r w:rsidR="008D750B" w:rsidRPr="008D750B">
        <w:t xml:space="preserve"> </w:t>
      </w:r>
    </w:p>
    <w:p w:rsidR="008D750B" w:rsidRPr="005402ED" w:rsidRDefault="00440B95" w:rsidP="008D750B">
      <w:pPr>
        <w:ind w:left="720" w:firstLine="1440"/>
      </w:pPr>
      <w:r>
        <w:t>(ii)</w:t>
      </w:r>
      <w:r>
        <w:tab/>
        <w:t xml:space="preserve">Subject to Article Six, the price for Unsubscribed Delivered Energy is the lesser of (A) the DLAP Price plus the Renewable Energy Credit Market Price and (B) the Contract Price multiplied by the </w:t>
      </w:r>
      <w:r w:rsidR="00A42245">
        <w:t>TOD</w:t>
      </w:r>
      <w:r>
        <w:t xml:space="preserve"> Factor for the TOD Period being calculated</w:t>
      </w:r>
      <w:r w:rsidR="00A42245">
        <w:t>, as described below in Section 4.4 (the “Unsubscribed Energy Price”)</w:t>
      </w:r>
      <w:r>
        <w:t>.</w:t>
      </w:r>
      <w:r w:rsidR="008D750B" w:rsidRPr="008D750B">
        <w:t xml:space="preserve"> </w:t>
      </w:r>
    </w:p>
    <w:p w:rsidR="008D750B" w:rsidRDefault="00440B95" w:rsidP="008D750B">
      <w:pPr>
        <w:ind w:left="720" w:firstLine="1440"/>
      </w:pPr>
      <w:r>
        <w:t>(iii)</w:t>
      </w:r>
      <w:r>
        <w:tab/>
        <w:t xml:space="preserve">If the Commercial Operation Date occurs on a day other than the first day of a calendar month for any reason, the price per </w:t>
      </w:r>
      <w:r w:rsidR="00A42245">
        <w:t>M</w:t>
      </w:r>
      <w:r>
        <w:t>Wh paid to Seller for Delivered Energy from the Commercial Operation Date until the first day of the next succeeding calendar month shall be</w:t>
      </w:r>
      <w:r w:rsidR="00C1719F">
        <w:t xml:space="preserve"> the Unsubscribed Energy Price.</w:t>
      </w:r>
      <w:r w:rsidR="008D750B" w:rsidRPr="008D750B">
        <w:t xml:space="preserve"> </w:t>
      </w:r>
    </w:p>
    <w:p w:rsidR="00A42245" w:rsidRPr="005402ED" w:rsidRDefault="00A42245" w:rsidP="008D750B">
      <w:pPr>
        <w:ind w:left="720" w:firstLine="1440"/>
      </w:pPr>
      <w:r>
        <w:t>(iv)</w:t>
      </w:r>
      <w:r>
        <w:tab/>
      </w:r>
      <w:r w:rsidRPr="00A42245">
        <w:t>Except as otherwise expressly provided in this Agreement, any calculation involving both Subscribed Delivered Energy and Unsubscribed Delivered Energy will be allocated in proportion to Subscribed Delivered Energy and Unsubscribed Delivered Energy for the relevant calculation period.</w:t>
      </w:r>
      <w:r>
        <w:t>”</w:t>
      </w:r>
    </w:p>
    <w:p w:rsidR="00F02125" w:rsidRDefault="00FB74EA" w:rsidP="00FB74EA">
      <w:pPr>
        <w:pStyle w:val="RAMRiderpara1"/>
      </w:pPr>
      <w:r w:rsidRPr="00FB74EA">
        <w:rPr>
          <w:b/>
        </w:rPr>
        <w:t>1</w:t>
      </w:r>
      <w:r w:rsidR="00A42245">
        <w:rPr>
          <w:b/>
        </w:rPr>
        <w:t>4</w:t>
      </w:r>
      <w:r w:rsidRPr="00FB74EA">
        <w:rPr>
          <w:b/>
        </w:rPr>
        <w:t>.</w:t>
      </w:r>
      <w:r w:rsidR="00440B95">
        <w:tab/>
        <w:t xml:space="preserve">Section 4.2, </w:t>
      </w:r>
      <w:r w:rsidR="00440B95" w:rsidRPr="00440B95">
        <w:rPr>
          <w:u w:val="single"/>
        </w:rPr>
        <w:t>TOD Periods</w:t>
      </w:r>
      <w:r w:rsidR="00440B95">
        <w:t xml:space="preserve"> is deleted in its entirety and replaced with the following:</w:t>
      </w:r>
    </w:p>
    <w:p w:rsidR="00C1719F" w:rsidRPr="00C37502" w:rsidRDefault="00344F39" w:rsidP="00C1719F">
      <w:pPr>
        <w:ind w:left="720" w:firstLine="720"/>
      </w:pPr>
      <w:bookmarkStart w:id="1" w:name="_Toc234779248"/>
      <w:bookmarkStart w:id="2" w:name="_Toc235938960"/>
      <w:bookmarkStart w:id="3" w:name="_Toc283722596"/>
      <w:bookmarkStart w:id="4" w:name="_Toc208809484"/>
      <w:bookmarkStart w:id="5" w:name="_Toc231118709"/>
      <w:r>
        <w:rPr>
          <w:rFonts w:eastAsia="Times New Roman" w:cs="Times New Roman"/>
        </w:rPr>
        <w:t>“</w:t>
      </w:r>
      <w:r w:rsidR="00440B95" w:rsidRPr="00440B95">
        <w:rPr>
          <w:rFonts w:eastAsia="Times New Roman" w:cs="Times New Roman"/>
        </w:rPr>
        <w:t>4.2</w:t>
      </w:r>
      <w:r w:rsidR="00440B95" w:rsidRPr="00440B95">
        <w:rPr>
          <w:rFonts w:eastAsia="Times New Roman" w:cs="Times New Roman"/>
        </w:rPr>
        <w:tab/>
      </w:r>
      <w:r w:rsidR="00440B95" w:rsidRPr="00440B95">
        <w:rPr>
          <w:rFonts w:eastAsia="Times New Roman" w:cs="Times New Roman"/>
          <w:u w:val="single"/>
        </w:rPr>
        <w:t>TOD Periods</w:t>
      </w:r>
      <w:bookmarkEnd w:id="1"/>
      <w:bookmarkEnd w:id="2"/>
      <w:bookmarkEnd w:id="3"/>
      <w:r w:rsidR="00440B95" w:rsidRPr="00440B95">
        <w:rPr>
          <w:rFonts w:eastAsia="Times New Roman" w:cs="Times New Roman"/>
        </w:rPr>
        <w:t>.  The time of delivery periods (“TOD Periods”) specified below shall be referenced by the following designations:</w:t>
      </w:r>
      <w:bookmarkEnd w:id="4"/>
      <w:bookmarkEnd w:id="5"/>
      <w:r w:rsidR="00C1719F" w:rsidRPr="00C1719F">
        <w:t xml:space="preserve"> </w:t>
      </w:r>
    </w:p>
    <w:tbl>
      <w:tblPr>
        <w:tblW w:w="7260" w:type="dxa"/>
        <w:tblInd w:w="1440" w:type="dxa"/>
        <w:tblLayout w:type="fixed"/>
        <w:tblCellMar>
          <w:left w:w="0" w:type="dxa"/>
          <w:right w:w="0" w:type="dxa"/>
        </w:tblCellMar>
        <w:tblLook w:val="0000" w:firstRow="0" w:lastRow="0" w:firstColumn="0" w:lastColumn="0" w:noHBand="0" w:noVBand="0"/>
      </w:tblPr>
      <w:tblGrid>
        <w:gridCol w:w="2985"/>
        <w:gridCol w:w="1768"/>
        <w:gridCol w:w="1461"/>
        <w:gridCol w:w="1046"/>
      </w:tblGrid>
      <w:tr w:rsidR="00440B95" w:rsidRPr="00440B95" w:rsidTr="00344F39">
        <w:trPr>
          <w:trHeight w:val="216"/>
        </w:trPr>
        <w:tc>
          <w:tcPr>
            <w:tcW w:w="2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keepNext/>
              <w:spacing w:after="0"/>
              <w:rPr>
                <w:rFonts w:eastAsia="Times New Roman" w:cs="Times New Roman"/>
                <w:b/>
                <w:bCs/>
              </w:rPr>
            </w:pPr>
          </w:p>
        </w:tc>
        <w:tc>
          <w:tcPr>
            <w:tcW w:w="427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keepNext/>
              <w:spacing w:before="60" w:after="60"/>
              <w:jc w:val="center"/>
              <w:rPr>
                <w:rFonts w:eastAsia="Times New Roman" w:cs="Times New Roman"/>
                <w:b/>
                <w:bCs/>
              </w:rPr>
            </w:pPr>
            <w:r w:rsidRPr="00440B95">
              <w:rPr>
                <w:rFonts w:eastAsia="Times New Roman" w:cs="Times New Roman"/>
                <w:b/>
                <w:bCs/>
              </w:rPr>
              <w:t>TOD PERIOD</w:t>
            </w:r>
          </w:p>
        </w:tc>
      </w:tr>
      <w:tr w:rsidR="00440B95" w:rsidRPr="00440B95" w:rsidTr="00344F39">
        <w:trPr>
          <w:trHeight w:val="255"/>
        </w:trPr>
        <w:tc>
          <w:tcPr>
            <w:tcW w:w="298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keepNext/>
              <w:spacing w:after="0"/>
              <w:rPr>
                <w:rFonts w:eastAsia="Times New Roman" w:cs="Times New Roman"/>
                <w:b/>
                <w:bCs/>
              </w:rPr>
            </w:pPr>
            <w:r w:rsidRPr="00440B95">
              <w:rPr>
                <w:rFonts w:eastAsia="Times New Roman" w:cs="Times New Roman"/>
                <w:b/>
                <w:bCs/>
              </w:rPr>
              <w:t>Monthly Period</w:t>
            </w:r>
          </w:p>
        </w:tc>
        <w:tc>
          <w:tcPr>
            <w:tcW w:w="176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keepNext/>
              <w:spacing w:after="0"/>
              <w:jc w:val="right"/>
              <w:rPr>
                <w:rFonts w:eastAsia="Times New Roman" w:cs="Times New Roman"/>
                <w:b/>
                <w:bCs/>
              </w:rPr>
            </w:pPr>
            <w:r w:rsidRPr="00440B95">
              <w:rPr>
                <w:rFonts w:eastAsia="Times New Roman" w:cs="Times New Roman"/>
                <w:b/>
                <w:bCs/>
              </w:rPr>
              <w:t>1.  Peak</w:t>
            </w:r>
          </w:p>
        </w:tc>
        <w:tc>
          <w:tcPr>
            <w:tcW w:w="14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042EB4">
            <w:pPr>
              <w:keepNext/>
              <w:spacing w:after="0"/>
              <w:jc w:val="right"/>
              <w:rPr>
                <w:rFonts w:eastAsia="Times New Roman" w:cs="Times New Roman"/>
                <w:b/>
                <w:bCs/>
              </w:rPr>
            </w:pPr>
            <w:r w:rsidRPr="00440B95">
              <w:rPr>
                <w:rFonts w:eastAsia="Times New Roman" w:cs="Times New Roman"/>
                <w:b/>
                <w:bCs/>
              </w:rPr>
              <w:t xml:space="preserve">2.  </w:t>
            </w:r>
            <w:r w:rsidR="00042EB4">
              <w:rPr>
                <w:rFonts w:eastAsia="Times New Roman" w:cs="Times New Roman"/>
                <w:b/>
                <w:bCs/>
              </w:rPr>
              <w:t>Mid-Day</w:t>
            </w:r>
          </w:p>
        </w:tc>
        <w:tc>
          <w:tcPr>
            <w:tcW w:w="104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keepNext/>
              <w:spacing w:after="0"/>
              <w:jc w:val="right"/>
              <w:rPr>
                <w:rFonts w:eastAsia="Times New Roman" w:cs="Times New Roman"/>
                <w:b/>
                <w:bCs/>
              </w:rPr>
            </w:pPr>
            <w:r w:rsidRPr="00440B95">
              <w:rPr>
                <w:rFonts w:eastAsia="Times New Roman" w:cs="Times New Roman"/>
                <w:b/>
                <w:bCs/>
              </w:rPr>
              <w:t>3.  Night</w:t>
            </w:r>
          </w:p>
        </w:tc>
      </w:tr>
      <w:tr w:rsidR="00440B95" w:rsidRPr="00440B95" w:rsidTr="00344F39">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keepNext/>
              <w:spacing w:after="0"/>
              <w:rPr>
                <w:rFonts w:eastAsia="Times New Roman" w:cs="Times New Roman"/>
              </w:rPr>
            </w:pPr>
            <w:r w:rsidRPr="00440B95">
              <w:rPr>
                <w:rFonts w:eastAsia="Times New Roman" w:cs="Times New Roman"/>
              </w:rPr>
              <w:t> </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keepNext/>
              <w:spacing w:after="0"/>
              <w:rPr>
                <w:rFonts w:eastAsia="Times New Roman" w:cs="Times New Roman"/>
              </w:rPr>
            </w:pPr>
            <w:r w:rsidRPr="00440B95">
              <w:rPr>
                <w:rFonts w:eastAsia="Times New Roman" w:cs="Times New Roman"/>
              </w:rPr>
              <w:t> </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keepNext/>
              <w:spacing w:after="0"/>
              <w:rPr>
                <w:rFonts w:eastAsia="Times New Roman" w:cs="Times New Roman"/>
              </w:rPr>
            </w:pPr>
            <w:r w:rsidRPr="00440B95">
              <w:rPr>
                <w:rFonts w:eastAsia="Times New Roman" w:cs="Times New Roman"/>
              </w:rPr>
              <w:t> </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keepNext/>
              <w:spacing w:after="0"/>
              <w:rPr>
                <w:rFonts w:eastAsia="Times New Roman" w:cs="Times New Roman"/>
              </w:rPr>
            </w:pPr>
            <w:r w:rsidRPr="00440B95">
              <w:rPr>
                <w:rFonts w:eastAsia="Times New Roman" w:cs="Times New Roman"/>
              </w:rPr>
              <w:t> </w:t>
            </w:r>
          </w:p>
        </w:tc>
      </w:tr>
      <w:tr w:rsidR="00440B95" w:rsidRPr="00440B95" w:rsidTr="00344F39">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rPr>
                <w:rFonts w:eastAsia="Times New Roman" w:cs="Times New Roman"/>
              </w:rPr>
            </w:pPr>
            <w:r w:rsidRPr="00440B95">
              <w:rPr>
                <w:rFonts w:eastAsia="Times New Roman" w:cs="Times New Roman"/>
              </w:rPr>
              <w:t>A.  July – Sept.</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jc w:val="right"/>
              <w:rPr>
                <w:rFonts w:eastAsia="Times New Roman" w:cs="Times New Roman"/>
              </w:rPr>
            </w:pPr>
            <w:r w:rsidRPr="00440B95">
              <w:rPr>
                <w:rFonts w:eastAsia="Times New Roman" w:cs="Times New Roman"/>
              </w:rPr>
              <w:t>A1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jc w:val="right"/>
              <w:rPr>
                <w:rFonts w:eastAsia="Times New Roman" w:cs="Times New Roman"/>
              </w:rPr>
            </w:pPr>
            <w:r w:rsidRPr="00440B95">
              <w:rPr>
                <w:rFonts w:eastAsia="Times New Roman" w:cs="Times New Roman"/>
              </w:rPr>
              <w:t>A2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jc w:val="right"/>
              <w:rPr>
                <w:rFonts w:eastAsia="Times New Roman" w:cs="Times New Roman"/>
              </w:rPr>
            </w:pPr>
            <w:r w:rsidRPr="00440B95">
              <w:rPr>
                <w:rFonts w:eastAsia="Times New Roman" w:cs="Times New Roman"/>
              </w:rPr>
              <w:t>A3</w:t>
            </w:r>
          </w:p>
        </w:tc>
      </w:tr>
      <w:tr w:rsidR="00440B95" w:rsidRPr="00440B95" w:rsidTr="00344F39">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rPr>
                <w:rFonts w:eastAsia="Times New Roman" w:cs="Times New Roman"/>
              </w:rPr>
            </w:pPr>
            <w:r w:rsidRPr="00440B95">
              <w:rPr>
                <w:rFonts w:eastAsia="Times New Roman" w:cs="Times New Roman"/>
              </w:rPr>
              <w:t>B.  Oct. – Feb.</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jc w:val="right"/>
              <w:rPr>
                <w:rFonts w:eastAsia="Times New Roman" w:cs="Times New Roman"/>
              </w:rPr>
            </w:pPr>
            <w:r w:rsidRPr="00440B95">
              <w:rPr>
                <w:rFonts w:eastAsia="Times New Roman" w:cs="Times New Roman"/>
              </w:rPr>
              <w:t>B1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jc w:val="right"/>
              <w:rPr>
                <w:rFonts w:eastAsia="Times New Roman" w:cs="Times New Roman"/>
              </w:rPr>
            </w:pPr>
            <w:r w:rsidRPr="00440B95">
              <w:rPr>
                <w:rFonts w:eastAsia="Times New Roman" w:cs="Times New Roman"/>
              </w:rPr>
              <w:t>B2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jc w:val="right"/>
              <w:rPr>
                <w:rFonts w:eastAsia="Times New Roman" w:cs="Times New Roman"/>
              </w:rPr>
            </w:pPr>
            <w:r w:rsidRPr="00440B95">
              <w:rPr>
                <w:rFonts w:eastAsia="Times New Roman" w:cs="Times New Roman"/>
              </w:rPr>
              <w:t>B3</w:t>
            </w:r>
          </w:p>
        </w:tc>
      </w:tr>
      <w:tr w:rsidR="00440B95" w:rsidRPr="00440B95" w:rsidTr="00344F39">
        <w:trPr>
          <w:trHeight w:val="255"/>
        </w:trPr>
        <w:tc>
          <w:tcPr>
            <w:tcW w:w="2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rPr>
                <w:rFonts w:eastAsia="Times New Roman" w:cs="Times New Roman"/>
              </w:rPr>
            </w:pPr>
            <w:r w:rsidRPr="00440B95">
              <w:rPr>
                <w:rFonts w:eastAsia="Times New Roman" w:cs="Times New Roman"/>
              </w:rPr>
              <w:t>C.  March – June</w:t>
            </w:r>
          </w:p>
        </w:tc>
        <w:tc>
          <w:tcPr>
            <w:tcW w:w="1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jc w:val="right"/>
              <w:rPr>
                <w:rFonts w:eastAsia="Times New Roman" w:cs="Times New Roman"/>
              </w:rPr>
            </w:pPr>
            <w:r w:rsidRPr="00440B95">
              <w:rPr>
                <w:rFonts w:eastAsia="Times New Roman" w:cs="Times New Roman"/>
              </w:rPr>
              <w:t>C1</w:t>
            </w:r>
          </w:p>
        </w:tc>
        <w:tc>
          <w:tcPr>
            <w:tcW w:w="146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jc w:val="right"/>
              <w:rPr>
                <w:rFonts w:eastAsia="Times New Roman" w:cs="Times New Roman"/>
              </w:rPr>
            </w:pPr>
            <w:r w:rsidRPr="00440B95">
              <w:rPr>
                <w:rFonts w:eastAsia="Times New Roman" w:cs="Times New Roman"/>
              </w:rPr>
              <w:t>C2</w:t>
            </w:r>
          </w:p>
        </w:tc>
        <w:tc>
          <w:tcPr>
            <w:tcW w:w="104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440B95" w:rsidRPr="00440B95" w:rsidRDefault="00440B95" w:rsidP="00440B95">
            <w:pPr>
              <w:spacing w:after="0"/>
              <w:jc w:val="right"/>
              <w:rPr>
                <w:rFonts w:eastAsia="Times New Roman" w:cs="Times New Roman"/>
              </w:rPr>
            </w:pPr>
            <w:r w:rsidRPr="00440B95">
              <w:rPr>
                <w:rFonts w:eastAsia="Times New Roman" w:cs="Times New Roman"/>
              </w:rPr>
              <w:t>C3</w:t>
            </w:r>
          </w:p>
        </w:tc>
      </w:tr>
    </w:tbl>
    <w:p w:rsidR="00440B95" w:rsidRPr="00440B95" w:rsidRDefault="00440B95" w:rsidP="00344F39">
      <w:pPr>
        <w:keepNext/>
        <w:spacing w:before="240"/>
        <w:ind w:left="720" w:firstLine="720"/>
        <w:rPr>
          <w:rFonts w:eastAsia="Times New Roman" w:cs="Times New Roman"/>
        </w:rPr>
      </w:pPr>
      <w:r w:rsidRPr="00440B95">
        <w:rPr>
          <w:rFonts w:eastAsia="Times New Roman" w:cs="Times New Roman"/>
          <w:u w:val="single"/>
        </w:rPr>
        <w:lastRenderedPageBreak/>
        <w:t>Monthly Period Definitions</w:t>
      </w:r>
      <w:r w:rsidRPr="00440B95">
        <w:rPr>
          <w:rFonts w:eastAsia="Times New Roman" w:cs="Times New Roman"/>
        </w:rPr>
        <w:t>.  The Monthly Periods are defined as follows:</w:t>
      </w:r>
    </w:p>
    <w:p w:rsidR="00440B95" w:rsidRPr="00440B95" w:rsidRDefault="00440B95" w:rsidP="00344F39">
      <w:pPr>
        <w:spacing w:after="120"/>
        <w:ind w:left="1440" w:firstLine="720"/>
        <w:rPr>
          <w:rFonts w:eastAsia="Times New Roman" w:cs="Times New Roman"/>
        </w:rPr>
      </w:pPr>
      <w:r w:rsidRPr="00440B95">
        <w:rPr>
          <w:rFonts w:eastAsia="Times New Roman" w:cs="Times New Roman"/>
        </w:rPr>
        <w:t>A.</w:t>
      </w:r>
      <w:r w:rsidRPr="00440B95">
        <w:rPr>
          <w:rFonts w:eastAsia="Times New Roman" w:cs="Times New Roman"/>
        </w:rPr>
        <w:tab/>
        <w:t>July – September;</w:t>
      </w:r>
    </w:p>
    <w:p w:rsidR="00440B95" w:rsidRPr="00440B95" w:rsidRDefault="00440B95" w:rsidP="00344F39">
      <w:pPr>
        <w:spacing w:after="120"/>
        <w:ind w:left="1440" w:firstLine="720"/>
        <w:rPr>
          <w:rFonts w:eastAsia="Times New Roman" w:cs="Times New Roman"/>
        </w:rPr>
      </w:pPr>
      <w:r w:rsidRPr="00440B95">
        <w:rPr>
          <w:rFonts w:eastAsia="Times New Roman" w:cs="Times New Roman"/>
        </w:rPr>
        <w:t>B.</w:t>
      </w:r>
      <w:r w:rsidRPr="00440B95">
        <w:rPr>
          <w:rFonts w:eastAsia="Times New Roman" w:cs="Times New Roman"/>
        </w:rPr>
        <w:tab/>
        <w:t>October – February; and</w:t>
      </w:r>
    </w:p>
    <w:p w:rsidR="00440B95" w:rsidRPr="00440B95" w:rsidRDefault="00440B95" w:rsidP="00344F39">
      <w:pPr>
        <w:ind w:left="1440" w:firstLine="720"/>
        <w:rPr>
          <w:rFonts w:eastAsia="Times New Roman" w:cs="Times New Roman"/>
        </w:rPr>
      </w:pPr>
      <w:r w:rsidRPr="00440B95">
        <w:rPr>
          <w:rFonts w:eastAsia="Times New Roman" w:cs="Times New Roman"/>
        </w:rPr>
        <w:t>C.</w:t>
      </w:r>
      <w:r w:rsidRPr="00440B95">
        <w:rPr>
          <w:rFonts w:eastAsia="Times New Roman" w:cs="Times New Roman"/>
        </w:rPr>
        <w:tab/>
        <w:t>March – June.</w:t>
      </w:r>
    </w:p>
    <w:p w:rsidR="00440B95" w:rsidRPr="00440B95" w:rsidRDefault="00440B95" w:rsidP="00344F39">
      <w:pPr>
        <w:ind w:left="720" w:firstLine="720"/>
        <w:rPr>
          <w:rFonts w:eastAsia="Times New Roman" w:cs="Times New Roman"/>
        </w:rPr>
      </w:pPr>
      <w:r w:rsidRPr="00440B95">
        <w:rPr>
          <w:rFonts w:eastAsia="Times New Roman" w:cs="Times New Roman"/>
          <w:u w:val="single"/>
        </w:rPr>
        <w:t>TOD Period Definitions</w:t>
      </w:r>
      <w:r w:rsidRPr="00440B95">
        <w:rPr>
          <w:rFonts w:eastAsia="Times New Roman" w:cs="Times New Roman"/>
        </w:rPr>
        <w:t>.  The TOD Periods are defined as follows:</w:t>
      </w:r>
    </w:p>
    <w:p w:rsidR="00440B95" w:rsidRPr="00440B95" w:rsidRDefault="00440B95" w:rsidP="00344F39">
      <w:pPr>
        <w:spacing w:after="120"/>
        <w:ind w:left="2880" w:hanging="720"/>
        <w:rPr>
          <w:rFonts w:eastAsia="Times New Roman" w:cs="Times New Roman"/>
        </w:rPr>
      </w:pPr>
      <w:r w:rsidRPr="00440B95">
        <w:rPr>
          <w:rFonts w:eastAsia="Times New Roman" w:cs="Times New Roman"/>
        </w:rPr>
        <w:t>1.</w:t>
      </w:r>
      <w:r w:rsidRPr="00440B95">
        <w:rPr>
          <w:rFonts w:eastAsia="Times New Roman" w:cs="Times New Roman"/>
        </w:rPr>
        <w:tab/>
      </w:r>
      <w:r w:rsidRPr="00440B95">
        <w:rPr>
          <w:rFonts w:eastAsia="Times New Roman" w:cs="Times New Roman"/>
          <w:b/>
          <w:bCs/>
        </w:rPr>
        <w:t>Peak</w:t>
      </w:r>
      <w:r w:rsidRPr="00440B95">
        <w:rPr>
          <w:rFonts w:eastAsia="Times New Roman" w:cs="Times New Roman"/>
        </w:rPr>
        <w:t xml:space="preserve"> = hours ending </w:t>
      </w:r>
      <w:r w:rsidRPr="00440B95">
        <w:rPr>
          <w:rFonts w:eastAsia="Times New Roman" w:cs="Times New Roman"/>
          <w:szCs w:val="20"/>
        </w:rPr>
        <w:t>1</w:t>
      </w:r>
      <w:r w:rsidR="007338E4">
        <w:rPr>
          <w:rFonts w:eastAsia="Times New Roman" w:cs="Times New Roman"/>
          <w:szCs w:val="20"/>
        </w:rPr>
        <w:t>8</w:t>
      </w:r>
      <w:r w:rsidRPr="00440B95">
        <w:rPr>
          <w:rFonts w:eastAsia="Times New Roman" w:cs="Times New Roman"/>
          <w:szCs w:val="20"/>
        </w:rPr>
        <w:t xml:space="preserve"> - 22</w:t>
      </w:r>
      <w:r w:rsidRPr="00440B95">
        <w:rPr>
          <w:rFonts w:eastAsia="Times New Roman" w:cs="Times New Roman"/>
        </w:rPr>
        <w:t xml:space="preserve"> (Pacific Prevailing Time (PPT)) all days in the applicable Monthly Period.</w:t>
      </w:r>
    </w:p>
    <w:p w:rsidR="00440B95" w:rsidRPr="00440B95" w:rsidRDefault="00440B95" w:rsidP="00344F39">
      <w:pPr>
        <w:spacing w:after="120"/>
        <w:ind w:left="2880" w:hanging="720"/>
        <w:rPr>
          <w:rFonts w:eastAsia="Times New Roman" w:cs="Times New Roman"/>
        </w:rPr>
      </w:pPr>
      <w:r w:rsidRPr="00440B95">
        <w:rPr>
          <w:rFonts w:eastAsia="Times New Roman" w:cs="Times New Roman"/>
        </w:rPr>
        <w:t>2.</w:t>
      </w:r>
      <w:r w:rsidRPr="00440B95">
        <w:rPr>
          <w:rFonts w:eastAsia="Times New Roman" w:cs="Times New Roman"/>
        </w:rPr>
        <w:tab/>
      </w:r>
      <w:r w:rsidR="00042EB4">
        <w:rPr>
          <w:rFonts w:eastAsia="Times New Roman" w:cs="Times New Roman"/>
          <w:b/>
          <w:bCs/>
        </w:rPr>
        <w:t>Mid-Day</w:t>
      </w:r>
      <w:r w:rsidRPr="00440B95">
        <w:rPr>
          <w:rFonts w:eastAsia="Times New Roman" w:cs="Times New Roman"/>
        </w:rPr>
        <w:t xml:space="preserve"> = hours ending </w:t>
      </w:r>
      <w:r w:rsidR="007338E4">
        <w:rPr>
          <w:rFonts w:eastAsia="Times New Roman" w:cs="Times New Roman"/>
        </w:rPr>
        <w:t>09</w:t>
      </w:r>
      <w:r w:rsidRPr="00440B95">
        <w:rPr>
          <w:rFonts w:eastAsia="Times New Roman" w:cs="Times New Roman"/>
        </w:rPr>
        <w:t xml:space="preserve"> - 1</w:t>
      </w:r>
      <w:r w:rsidR="007338E4">
        <w:rPr>
          <w:rFonts w:eastAsia="Times New Roman" w:cs="Times New Roman"/>
        </w:rPr>
        <w:t>7</w:t>
      </w:r>
      <w:r w:rsidRPr="00440B95">
        <w:rPr>
          <w:rFonts w:eastAsia="Times New Roman" w:cs="Times New Roman"/>
        </w:rPr>
        <w:t xml:space="preserve"> PPT all days in the applicable Monthly Period.</w:t>
      </w:r>
    </w:p>
    <w:p w:rsidR="00440B95" w:rsidRPr="00440B95" w:rsidRDefault="00440B95" w:rsidP="00344F39">
      <w:pPr>
        <w:ind w:left="2880" w:hanging="720"/>
        <w:rPr>
          <w:rFonts w:eastAsia="Times New Roman" w:cs="Times New Roman"/>
        </w:rPr>
      </w:pPr>
      <w:r w:rsidRPr="00440B95">
        <w:rPr>
          <w:rFonts w:eastAsia="Times New Roman" w:cs="Times New Roman"/>
        </w:rPr>
        <w:t>3.</w:t>
      </w:r>
      <w:r w:rsidRPr="00440B95">
        <w:rPr>
          <w:rFonts w:eastAsia="Times New Roman" w:cs="Times New Roman"/>
        </w:rPr>
        <w:tab/>
      </w:r>
      <w:r w:rsidRPr="00440B95">
        <w:rPr>
          <w:rFonts w:eastAsia="Times New Roman" w:cs="Times New Roman"/>
          <w:b/>
          <w:bCs/>
        </w:rPr>
        <w:t>Night</w:t>
      </w:r>
      <w:r w:rsidRPr="00440B95">
        <w:rPr>
          <w:rFonts w:eastAsia="Times New Roman" w:cs="Times New Roman"/>
          <w:szCs w:val="20"/>
        </w:rPr>
        <w:t xml:space="preserve"> </w:t>
      </w:r>
      <w:r w:rsidRPr="00440B95">
        <w:rPr>
          <w:rFonts w:eastAsia="Times New Roman" w:cs="Times New Roman"/>
        </w:rPr>
        <w:t>= hours ending 23 – 0</w:t>
      </w:r>
      <w:r w:rsidR="007338E4">
        <w:rPr>
          <w:rFonts w:eastAsia="Times New Roman" w:cs="Times New Roman"/>
        </w:rPr>
        <w:t>8</w:t>
      </w:r>
      <w:r w:rsidRPr="00440B95">
        <w:rPr>
          <w:rFonts w:eastAsia="Times New Roman" w:cs="Times New Roman"/>
        </w:rPr>
        <w:t xml:space="preserve"> PPT all days in the applicable Monthly Period.</w:t>
      </w:r>
      <w:r w:rsidR="00344F39">
        <w:rPr>
          <w:rFonts w:eastAsia="Times New Roman" w:cs="Times New Roman"/>
        </w:rPr>
        <w:t>”</w:t>
      </w:r>
    </w:p>
    <w:p w:rsidR="00440B95" w:rsidRDefault="00FB74EA" w:rsidP="00FB74EA">
      <w:pPr>
        <w:pStyle w:val="RAMRiderpara1"/>
      </w:pPr>
      <w:r w:rsidRPr="00FB74EA">
        <w:rPr>
          <w:b/>
        </w:rPr>
        <w:t>1</w:t>
      </w:r>
      <w:r w:rsidR="00A42245">
        <w:rPr>
          <w:b/>
        </w:rPr>
        <w:t>5</w:t>
      </w:r>
      <w:r w:rsidRPr="00FB74EA">
        <w:rPr>
          <w:b/>
        </w:rPr>
        <w:t>.</w:t>
      </w:r>
      <w:r>
        <w:tab/>
      </w:r>
      <w:r w:rsidR="00344F39">
        <w:t>Section 4.4(a), the two tables for RPS TOD FACTORS (labeled “Full Capacity Deliverability Status” and “Energy Only Status”) are deleted in their entirety and replaced with the single table shown below:</w:t>
      </w:r>
    </w:p>
    <w:tbl>
      <w:tblPr>
        <w:tblW w:w="0" w:type="auto"/>
        <w:jc w:val="center"/>
        <w:tblCellMar>
          <w:left w:w="0" w:type="dxa"/>
          <w:right w:w="0" w:type="dxa"/>
        </w:tblCellMar>
        <w:tblLook w:val="04A0" w:firstRow="1" w:lastRow="0" w:firstColumn="1" w:lastColumn="0" w:noHBand="0" w:noVBand="1"/>
      </w:tblPr>
      <w:tblGrid>
        <w:gridCol w:w="2827"/>
        <w:gridCol w:w="1171"/>
        <w:gridCol w:w="1530"/>
        <w:gridCol w:w="1350"/>
      </w:tblGrid>
      <w:tr w:rsidR="00344F39" w:rsidRPr="00344F39" w:rsidTr="00344F39">
        <w:trPr>
          <w:trHeight w:val="252"/>
          <w:jc w:val="center"/>
        </w:trPr>
        <w:tc>
          <w:tcPr>
            <w:tcW w:w="6878"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keepNext/>
              <w:overflowPunct w:val="0"/>
              <w:autoSpaceDE w:val="0"/>
              <w:autoSpaceDN w:val="0"/>
              <w:spacing w:after="0"/>
              <w:jc w:val="center"/>
              <w:rPr>
                <w:rFonts w:eastAsia="Calibri" w:cs="Times New Roman"/>
                <w:b/>
                <w:bCs/>
              </w:rPr>
            </w:pPr>
            <w:r w:rsidRPr="00344F39">
              <w:rPr>
                <w:rFonts w:eastAsia="Times New Roman" w:cs="Times New Roman"/>
                <w:b/>
                <w:bCs/>
                <w:szCs w:val="20"/>
              </w:rPr>
              <w:t>TOD FACTORS</w:t>
            </w:r>
            <w:r w:rsidR="00A42245">
              <w:rPr>
                <w:rFonts w:eastAsia="Times New Roman" w:cs="Times New Roman"/>
                <w:b/>
                <w:bCs/>
                <w:szCs w:val="20"/>
              </w:rPr>
              <w:t>*</w:t>
            </w:r>
            <w:r w:rsidRPr="00344F39">
              <w:rPr>
                <w:rFonts w:eastAsia="Times New Roman" w:cs="Times New Roman"/>
                <w:b/>
                <w:bCs/>
                <w:szCs w:val="20"/>
              </w:rPr>
              <w:t xml:space="preserve"> FOR EACH TOD PERIOD </w:t>
            </w:r>
          </w:p>
        </w:tc>
      </w:tr>
      <w:tr w:rsidR="00344F39" w:rsidRPr="00344F39" w:rsidTr="00344F39">
        <w:trPr>
          <w:trHeight w:val="252"/>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keepNext/>
              <w:overflowPunct w:val="0"/>
              <w:autoSpaceDE w:val="0"/>
              <w:autoSpaceDN w:val="0"/>
              <w:spacing w:after="0"/>
              <w:rPr>
                <w:rFonts w:eastAsia="Calibri" w:cs="Times New Roman"/>
                <w:b/>
                <w:bCs/>
              </w:rPr>
            </w:pPr>
            <w:r w:rsidRPr="00344F39">
              <w:rPr>
                <w:rFonts w:eastAsia="Times New Roman" w:cs="Times New Roman"/>
                <w:b/>
                <w:bCs/>
                <w:szCs w:val="20"/>
              </w:rPr>
              <w:t>Period</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keepNext/>
              <w:overflowPunct w:val="0"/>
              <w:autoSpaceDE w:val="0"/>
              <w:autoSpaceDN w:val="0"/>
              <w:spacing w:after="0"/>
              <w:jc w:val="center"/>
              <w:rPr>
                <w:rFonts w:eastAsia="Calibri" w:cs="Times New Roman"/>
                <w:b/>
                <w:bCs/>
              </w:rPr>
            </w:pPr>
            <w:r w:rsidRPr="00344F39">
              <w:rPr>
                <w:rFonts w:eastAsia="Times New Roman" w:cs="Times New Roman"/>
                <w:b/>
                <w:bCs/>
                <w:szCs w:val="20"/>
              </w:rPr>
              <w:t>1.</w:t>
            </w:r>
            <w:r>
              <w:rPr>
                <w:rFonts w:eastAsia="Times New Roman" w:cs="Times New Roman"/>
                <w:b/>
                <w:bCs/>
                <w:szCs w:val="20"/>
              </w:rPr>
              <w:t xml:space="preserve"> </w:t>
            </w:r>
            <w:r w:rsidRPr="00344F39">
              <w:rPr>
                <w:rFonts w:eastAsia="Times New Roman" w:cs="Times New Roman"/>
                <w:b/>
                <w:bCs/>
                <w:szCs w:val="20"/>
              </w:rPr>
              <w:t xml:space="preserve"> Peak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keepNext/>
              <w:overflowPunct w:val="0"/>
              <w:autoSpaceDE w:val="0"/>
              <w:autoSpaceDN w:val="0"/>
              <w:spacing w:after="0"/>
              <w:jc w:val="center"/>
              <w:rPr>
                <w:rFonts w:eastAsia="Calibri" w:cs="Times New Roman"/>
                <w:b/>
                <w:bCs/>
              </w:rPr>
            </w:pPr>
            <w:r w:rsidRPr="00344F39">
              <w:rPr>
                <w:rFonts w:eastAsia="Times New Roman" w:cs="Times New Roman"/>
                <w:b/>
                <w:bCs/>
                <w:szCs w:val="20"/>
              </w:rPr>
              <w:t>2.</w:t>
            </w:r>
            <w:r>
              <w:rPr>
                <w:rFonts w:eastAsia="Times New Roman" w:cs="Times New Roman"/>
                <w:b/>
                <w:bCs/>
                <w:szCs w:val="20"/>
              </w:rPr>
              <w:t xml:space="preserve">  </w:t>
            </w:r>
            <w:r w:rsidRPr="00344F39">
              <w:rPr>
                <w:rFonts w:eastAsia="Times New Roman" w:cs="Times New Roman"/>
                <w:b/>
                <w:bCs/>
                <w:szCs w:val="20"/>
              </w:rPr>
              <w:t>Mid-Day</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keepNext/>
              <w:overflowPunct w:val="0"/>
              <w:autoSpaceDE w:val="0"/>
              <w:autoSpaceDN w:val="0"/>
              <w:spacing w:after="0"/>
              <w:jc w:val="center"/>
              <w:rPr>
                <w:rFonts w:eastAsia="Calibri" w:cs="Times New Roman"/>
                <w:b/>
                <w:bCs/>
              </w:rPr>
            </w:pPr>
            <w:r w:rsidRPr="00344F39">
              <w:rPr>
                <w:rFonts w:eastAsia="Times New Roman" w:cs="Times New Roman"/>
                <w:b/>
                <w:bCs/>
                <w:szCs w:val="20"/>
              </w:rPr>
              <w:t>3.</w:t>
            </w:r>
            <w:r>
              <w:rPr>
                <w:rFonts w:eastAsia="Times New Roman" w:cs="Times New Roman"/>
                <w:b/>
                <w:bCs/>
                <w:szCs w:val="20"/>
              </w:rPr>
              <w:t xml:space="preserve"> </w:t>
            </w:r>
            <w:r w:rsidRPr="00344F39">
              <w:rPr>
                <w:rFonts w:eastAsia="Times New Roman" w:cs="Times New Roman"/>
                <w:b/>
                <w:bCs/>
                <w:szCs w:val="20"/>
              </w:rPr>
              <w:t xml:space="preserve"> Night</w:t>
            </w:r>
          </w:p>
        </w:tc>
      </w:tr>
      <w:tr w:rsidR="00344F39" w:rsidRPr="00344F39" w:rsidTr="00344F39">
        <w:trPr>
          <w:trHeight w:val="252"/>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44F39" w:rsidRPr="00344F39" w:rsidRDefault="00344F39" w:rsidP="00C1719F">
            <w:pPr>
              <w:overflowPunct w:val="0"/>
              <w:autoSpaceDE w:val="0"/>
              <w:autoSpaceDN w:val="0"/>
              <w:spacing w:after="0"/>
              <w:rPr>
                <w:rFonts w:eastAsia="Calibri" w:cs="Times New Roman"/>
              </w:rPr>
            </w:pPr>
          </w:p>
        </w:tc>
        <w:tc>
          <w:tcPr>
            <w:tcW w:w="1171" w:type="dxa"/>
            <w:tcBorders>
              <w:top w:val="nil"/>
              <w:left w:val="nil"/>
              <w:bottom w:val="single" w:sz="8" w:space="0" w:color="000000"/>
              <w:right w:val="single" w:sz="8" w:space="0" w:color="000000"/>
            </w:tcBorders>
            <w:tcMar>
              <w:top w:w="0" w:type="dxa"/>
              <w:left w:w="108" w:type="dxa"/>
              <w:bottom w:w="0" w:type="dxa"/>
              <w:right w:w="108" w:type="dxa"/>
            </w:tcMar>
          </w:tcPr>
          <w:p w:rsidR="00344F39" w:rsidRPr="00344F39" w:rsidRDefault="00344F39" w:rsidP="00C1719F">
            <w:pPr>
              <w:overflowPunct w:val="0"/>
              <w:autoSpaceDE w:val="0"/>
              <w:autoSpaceDN w:val="0"/>
              <w:spacing w:after="0"/>
              <w:rPr>
                <w:rFonts w:eastAsia="Calibri" w:cs="Times New Roman"/>
              </w:rPr>
            </w:pPr>
          </w:p>
        </w:tc>
        <w:tc>
          <w:tcPr>
            <w:tcW w:w="1530" w:type="dxa"/>
            <w:tcBorders>
              <w:top w:val="nil"/>
              <w:left w:val="nil"/>
              <w:bottom w:val="single" w:sz="8" w:space="0" w:color="000000"/>
              <w:right w:val="single" w:sz="8" w:space="0" w:color="000000"/>
            </w:tcBorders>
            <w:tcMar>
              <w:top w:w="0" w:type="dxa"/>
              <w:left w:w="108" w:type="dxa"/>
              <w:bottom w:w="0" w:type="dxa"/>
              <w:right w:w="108" w:type="dxa"/>
            </w:tcMar>
          </w:tcPr>
          <w:p w:rsidR="00344F39" w:rsidRPr="00344F39" w:rsidRDefault="00344F39" w:rsidP="00C1719F">
            <w:pPr>
              <w:overflowPunct w:val="0"/>
              <w:autoSpaceDE w:val="0"/>
              <w:autoSpaceDN w:val="0"/>
              <w:spacing w:after="0"/>
              <w:rPr>
                <w:rFonts w:eastAsia="Calibri" w:cs="Times New Roman"/>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tcPr>
          <w:p w:rsidR="00344F39" w:rsidRPr="00344F39" w:rsidRDefault="00344F39" w:rsidP="00C1719F">
            <w:pPr>
              <w:overflowPunct w:val="0"/>
              <w:autoSpaceDE w:val="0"/>
              <w:autoSpaceDN w:val="0"/>
              <w:spacing w:after="0"/>
              <w:rPr>
                <w:rFonts w:eastAsia="Calibri" w:cs="Times New Roman"/>
              </w:rPr>
            </w:pPr>
          </w:p>
        </w:tc>
      </w:tr>
      <w:tr w:rsidR="00344F39" w:rsidRPr="00344F39" w:rsidTr="00344F39">
        <w:trPr>
          <w:trHeight w:val="278"/>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overflowPunct w:val="0"/>
              <w:autoSpaceDE w:val="0"/>
              <w:autoSpaceDN w:val="0"/>
              <w:spacing w:after="0"/>
              <w:rPr>
                <w:rFonts w:eastAsia="Calibri" w:cs="Times New Roman"/>
              </w:rPr>
            </w:pPr>
            <w:r w:rsidRPr="00344F39">
              <w:rPr>
                <w:rFonts w:eastAsia="Times New Roman" w:cs="Times New Roman"/>
                <w:szCs w:val="20"/>
              </w:rPr>
              <w:t>A.</w:t>
            </w:r>
            <w:r>
              <w:rPr>
                <w:rFonts w:eastAsia="Times New Roman" w:cs="Times New Roman"/>
                <w:szCs w:val="20"/>
              </w:rPr>
              <w:t xml:space="preserve"> </w:t>
            </w:r>
            <w:r w:rsidRPr="00344F39">
              <w:rPr>
                <w:rFonts w:eastAsia="Times New Roman" w:cs="Times New Roman"/>
                <w:szCs w:val="20"/>
              </w:rPr>
              <w:t xml:space="preserve"> July </w:t>
            </w:r>
            <w:r w:rsidR="00A42245">
              <w:rPr>
                <w:rFonts w:eastAsia="Times New Roman" w:cs="Times New Roman"/>
                <w:szCs w:val="20"/>
              </w:rPr>
              <w:t>–</w:t>
            </w:r>
            <w:r w:rsidRPr="00344F39">
              <w:rPr>
                <w:rFonts w:eastAsia="Times New Roman" w:cs="Times New Roman"/>
                <w:szCs w:val="20"/>
              </w:rPr>
              <w:t xml:space="preserve"> September</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overflowPunct w:val="0"/>
              <w:autoSpaceDE w:val="0"/>
              <w:autoSpaceDN w:val="0"/>
              <w:spacing w:after="0"/>
              <w:jc w:val="right"/>
              <w:rPr>
                <w:rFonts w:eastAsia="Calibri" w:cs="Times New Roman"/>
              </w:rPr>
            </w:pPr>
            <w:r w:rsidRPr="00344F39">
              <w:rPr>
                <w:rFonts w:eastAsia="Times New Roman" w:cs="Times New Roman"/>
                <w:szCs w:val="20"/>
              </w:rPr>
              <w:t>1.</w:t>
            </w:r>
            <w:r w:rsidR="007338E4">
              <w:rPr>
                <w:rFonts w:eastAsia="Times New Roman" w:cs="Times New Roman"/>
                <w:szCs w:val="20"/>
              </w:rPr>
              <w:t>546</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overflowPunct w:val="0"/>
              <w:autoSpaceDE w:val="0"/>
              <w:autoSpaceDN w:val="0"/>
              <w:spacing w:after="0"/>
              <w:jc w:val="right"/>
              <w:rPr>
                <w:rFonts w:eastAsia="Calibri" w:cs="Times New Roman"/>
              </w:rPr>
            </w:pPr>
            <w:r w:rsidRPr="00344F39">
              <w:rPr>
                <w:rFonts w:eastAsia="Times New Roman" w:cs="Times New Roman"/>
                <w:szCs w:val="20"/>
              </w:rPr>
              <w:t>0.6</w:t>
            </w:r>
            <w:r w:rsidR="009A1507">
              <w:rPr>
                <w:rFonts w:eastAsia="Times New Roman" w:cs="Times New Roman"/>
                <w:szCs w:val="20"/>
              </w:rPr>
              <w:t>53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overflowPunct w:val="0"/>
              <w:autoSpaceDE w:val="0"/>
              <w:autoSpaceDN w:val="0"/>
              <w:spacing w:after="0"/>
              <w:jc w:val="right"/>
              <w:rPr>
                <w:rFonts w:eastAsia="Calibri" w:cs="Times New Roman"/>
              </w:rPr>
            </w:pPr>
            <w:r w:rsidRPr="00344F39">
              <w:rPr>
                <w:rFonts w:eastAsia="Times New Roman" w:cs="Times New Roman"/>
                <w:szCs w:val="20"/>
              </w:rPr>
              <w:t>1.</w:t>
            </w:r>
            <w:r w:rsidR="009A1507">
              <w:rPr>
                <w:rFonts w:eastAsia="Times New Roman" w:cs="Times New Roman"/>
                <w:szCs w:val="20"/>
              </w:rPr>
              <w:t>222</w:t>
            </w:r>
          </w:p>
        </w:tc>
      </w:tr>
      <w:tr w:rsidR="00344F39" w:rsidRPr="00344F39" w:rsidTr="00344F39">
        <w:trPr>
          <w:trHeight w:val="252"/>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overflowPunct w:val="0"/>
              <w:autoSpaceDE w:val="0"/>
              <w:autoSpaceDN w:val="0"/>
              <w:spacing w:after="0"/>
              <w:rPr>
                <w:rFonts w:eastAsia="Calibri" w:cs="Times New Roman"/>
              </w:rPr>
            </w:pPr>
            <w:r w:rsidRPr="00344F39">
              <w:rPr>
                <w:rFonts w:eastAsia="Times New Roman" w:cs="Times New Roman"/>
              </w:rPr>
              <w:t xml:space="preserve">B. </w:t>
            </w:r>
            <w:r w:rsidRPr="00344F39">
              <w:rPr>
                <w:rFonts w:eastAsia="Times New Roman" w:cs="Times New Roman"/>
                <w:szCs w:val="20"/>
              </w:rPr>
              <w:t xml:space="preserve"> October </w:t>
            </w:r>
            <w:r w:rsidR="00A42245">
              <w:rPr>
                <w:rFonts w:eastAsia="Times New Roman" w:cs="Times New Roman"/>
                <w:szCs w:val="20"/>
              </w:rPr>
              <w:t>–</w:t>
            </w:r>
            <w:r w:rsidRPr="00344F39">
              <w:rPr>
                <w:rFonts w:eastAsia="Times New Roman" w:cs="Times New Roman"/>
                <w:szCs w:val="20"/>
              </w:rPr>
              <w:t xml:space="preserve"> February</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autoSpaceDE w:val="0"/>
              <w:autoSpaceDN w:val="0"/>
              <w:adjustRightInd w:val="0"/>
              <w:spacing w:after="0"/>
              <w:jc w:val="right"/>
              <w:rPr>
                <w:rFonts w:eastAsia="Times New Roman" w:cs="Times New Roman"/>
                <w:color w:val="000000"/>
                <w:sz w:val="24"/>
                <w:szCs w:val="24"/>
              </w:rPr>
            </w:pPr>
            <w:r w:rsidRPr="00344F39">
              <w:rPr>
                <w:rFonts w:eastAsia="Times New Roman" w:cs="Times New Roman"/>
                <w:color w:val="000000"/>
                <w:szCs w:val="24"/>
              </w:rPr>
              <w:t>1.</w:t>
            </w:r>
            <w:r w:rsidR="009A1507">
              <w:rPr>
                <w:rFonts w:eastAsia="Times New Roman" w:cs="Times New Roman"/>
                <w:color w:val="000000"/>
              </w:rPr>
              <w:t>505</w:t>
            </w:r>
            <w:r w:rsidRPr="00344F39">
              <w:rPr>
                <w:rFonts w:eastAsia="Times New Roman" w:cs="Times New Roman"/>
                <w:color w:val="000000"/>
              </w:rPr>
              <w:t xml:space="preserve"> </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autoSpaceDE w:val="0"/>
              <w:autoSpaceDN w:val="0"/>
              <w:adjustRightInd w:val="0"/>
              <w:spacing w:after="0"/>
              <w:jc w:val="right"/>
              <w:rPr>
                <w:rFonts w:eastAsia="Times New Roman" w:cs="Times New Roman"/>
                <w:color w:val="000000"/>
                <w:sz w:val="24"/>
                <w:szCs w:val="24"/>
              </w:rPr>
            </w:pPr>
            <w:r w:rsidRPr="00344F39">
              <w:rPr>
                <w:rFonts w:eastAsia="Times New Roman" w:cs="Times New Roman"/>
                <w:color w:val="000000"/>
                <w:szCs w:val="24"/>
              </w:rPr>
              <w:t>0.</w:t>
            </w:r>
            <w:r w:rsidRPr="00344F39">
              <w:rPr>
                <w:rFonts w:eastAsia="Times New Roman" w:cs="Times New Roman"/>
                <w:color w:val="000000"/>
              </w:rPr>
              <w:t>7</w:t>
            </w:r>
            <w:r w:rsidR="009A1507">
              <w:rPr>
                <w:rFonts w:eastAsia="Times New Roman" w:cs="Times New Roman"/>
                <w:color w:val="000000"/>
              </w:rPr>
              <w:t>53</w:t>
            </w:r>
            <w:r w:rsidRPr="00344F39">
              <w:rPr>
                <w:rFonts w:eastAsia="Times New Roman" w:cs="Times New Roman"/>
                <w:color w:val="000000"/>
              </w:rPr>
              <w:t xml:space="preserve"> </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autoSpaceDE w:val="0"/>
              <w:autoSpaceDN w:val="0"/>
              <w:adjustRightInd w:val="0"/>
              <w:spacing w:after="0"/>
              <w:jc w:val="right"/>
              <w:rPr>
                <w:rFonts w:eastAsia="Times New Roman" w:cs="Times New Roman"/>
                <w:color w:val="000000"/>
                <w:sz w:val="24"/>
                <w:szCs w:val="24"/>
              </w:rPr>
            </w:pPr>
            <w:r w:rsidRPr="00344F39">
              <w:rPr>
                <w:rFonts w:eastAsia="Times New Roman" w:cs="Times New Roman"/>
                <w:color w:val="000000"/>
              </w:rPr>
              <w:t>1.2</w:t>
            </w:r>
            <w:r w:rsidR="009A1507">
              <w:rPr>
                <w:rFonts w:eastAsia="Times New Roman" w:cs="Times New Roman"/>
                <w:color w:val="000000"/>
              </w:rPr>
              <w:t>99</w:t>
            </w:r>
          </w:p>
        </w:tc>
      </w:tr>
      <w:tr w:rsidR="00344F39" w:rsidRPr="00344F39" w:rsidTr="00344F39">
        <w:trPr>
          <w:trHeight w:val="265"/>
          <w:jc w:val="center"/>
        </w:trPr>
        <w:tc>
          <w:tcPr>
            <w:tcW w:w="28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overflowPunct w:val="0"/>
              <w:autoSpaceDE w:val="0"/>
              <w:autoSpaceDN w:val="0"/>
              <w:spacing w:after="0"/>
              <w:rPr>
                <w:rFonts w:eastAsia="Calibri" w:cs="Times New Roman"/>
              </w:rPr>
            </w:pPr>
            <w:r w:rsidRPr="00344F39">
              <w:rPr>
                <w:rFonts w:eastAsia="Times New Roman" w:cs="Times New Roman"/>
                <w:szCs w:val="20"/>
              </w:rPr>
              <w:t>C.</w:t>
            </w:r>
            <w:r>
              <w:rPr>
                <w:rFonts w:eastAsia="Times New Roman" w:cs="Times New Roman"/>
                <w:szCs w:val="20"/>
              </w:rPr>
              <w:t xml:space="preserve"> </w:t>
            </w:r>
            <w:r w:rsidRPr="00344F39">
              <w:rPr>
                <w:rFonts w:eastAsia="Times New Roman" w:cs="Times New Roman"/>
                <w:szCs w:val="20"/>
              </w:rPr>
              <w:t xml:space="preserve"> March </w:t>
            </w:r>
            <w:r w:rsidR="00A42245">
              <w:rPr>
                <w:rFonts w:eastAsia="Times New Roman" w:cs="Times New Roman"/>
                <w:szCs w:val="20"/>
              </w:rPr>
              <w:t>–</w:t>
            </w:r>
            <w:r w:rsidRPr="00344F39">
              <w:rPr>
                <w:rFonts w:eastAsia="Times New Roman" w:cs="Times New Roman"/>
                <w:szCs w:val="20"/>
              </w:rPr>
              <w:t xml:space="preserve"> June</w:t>
            </w:r>
          </w:p>
        </w:tc>
        <w:tc>
          <w:tcPr>
            <w:tcW w:w="1171"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overflowPunct w:val="0"/>
              <w:autoSpaceDE w:val="0"/>
              <w:autoSpaceDN w:val="0"/>
              <w:spacing w:after="0"/>
              <w:jc w:val="right"/>
              <w:rPr>
                <w:rFonts w:eastAsia="Calibri" w:cs="Times New Roman"/>
              </w:rPr>
            </w:pPr>
            <w:r w:rsidRPr="00344F39">
              <w:rPr>
                <w:rFonts w:eastAsia="Times New Roman" w:cs="Times New Roman"/>
                <w:szCs w:val="20"/>
              </w:rPr>
              <w:t>1.</w:t>
            </w:r>
            <w:r w:rsidR="009A1507">
              <w:rPr>
                <w:rFonts w:eastAsia="Times New Roman" w:cs="Times New Roman"/>
                <w:szCs w:val="20"/>
              </w:rPr>
              <w:t>315</w:t>
            </w:r>
          </w:p>
        </w:tc>
        <w:tc>
          <w:tcPr>
            <w:tcW w:w="1530"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overflowPunct w:val="0"/>
              <w:autoSpaceDE w:val="0"/>
              <w:autoSpaceDN w:val="0"/>
              <w:spacing w:after="0"/>
              <w:jc w:val="right"/>
              <w:rPr>
                <w:rFonts w:eastAsia="Calibri" w:cs="Times New Roman"/>
              </w:rPr>
            </w:pPr>
            <w:r w:rsidRPr="00344F39">
              <w:rPr>
                <w:rFonts w:eastAsia="Times New Roman" w:cs="Times New Roman"/>
                <w:szCs w:val="20"/>
              </w:rPr>
              <w:t>0.2</w:t>
            </w:r>
            <w:r w:rsidR="009A1507">
              <w:rPr>
                <w:rFonts w:eastAsia="Times New Roman" w:cs="Times New Roman"/>
                <w:szCs w:val="20"/>
              </w:rPr>
              <w:t>0</w:t>
            </w:r>
            <w:r w:rsidRPr="00344F39">
              <w:rPr>
                <w:rFonts w:eastAsia="Times New Roman" w:cs="Times New Roman"/>
                <w:szCs w:val="20"/>
              </w:rPr>
              <w:t>0</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rsidR="00344F39" w:rsidRPr="00344F39" w:rsidRDefault="00344F39" w:rsidP="00C1719F">
            <w:pPr>
              <w:overflowPunct w:val="0"/>
              <w:autoSpaceDE w:val="0"/>
              <w:autoSpaceDN w:val="0"/>
              <w:spacing w:after="0"/>
              <w:jc w:val="right"/>
              <w:rPr>
                <w:rFonts w:eastAsia="Calibri" w:cs="Times New Roman"/>
              </w:rPr>
            </w:pPr>
            <w:r w:rsidRPr="00344F39">
              <w:rPr>
                <w:rFonts w:eastAsia="Times New Roman" w:cs="Times New Roman"/>
                <w:szCs w:val="20"/>
              </w:rPr>
              <w:t>1.0</w:t>
            </w:r>
            <w:r w:rsidR="00347619">
              <w:rPr>
                <w:rFonts w:eastAsia="Times New Roman" w:cs="Times New Roman"/>
                <w:szCs w:val="20"/>
              </w:rPr>
              <w:t>1</w:t>
            </w:r>
            <w:r w:rsidR="009A1507">
              <w:rPr>
                <w:rFonts w:eastAsia="Times New Roman" w:cs="Times New Roman"/>
                <w:szCs w:val="20"/>
              </w:rPr>
              <w:t>6</w:t>
            </w:r>
          </w:p>
        </w:tc>
      </w:tr>
    </w:tbl>
    <w:p w:rsidR="00440B95" w:rsidRPr="008D750B" w:rsidRDefault="00A42245" w:rsidP="00803896">
      <w:pPr>
        <w:spacing w:before="120"/>
        <w:ind w:left="1440"/>
      </w:pPr>
      <w:r>
        <w:t>* TOD Factors shown are consistent with factors approved in the 2015 RPS Decision: CPUC D. 15-12-025.</w:t>
      </w:r>
    </w:p>
    <w:p w:rsidR="00440B95" w:rsidRDefault="00FB74EA" w:rsidP="00FB74EA">
      <w:pPr>
        <w:pStyle w:val="RAMRiderpara1"/>
      </w:pPr>
      <w:r w:rsidRPr="00FB74EA">
        <w:rPr>
          <w:b/>
        </w:rPr>
        <w:t>1</w:t>
      </w:r>
      <w:r w:rsidR="00A42245">
        <w:rPr>
          <w:b/>
        </w:rPr>
        <w:t>6</w:t>
      </w:r>
      <w:r w:rsidRPr="00FB74EA">
        <w:rPr>
          <w:b/>
        </w:rPr>
        <w:t>.</w:t>
      </w:r>
      <w:r w:rsidR="00344F39">
        <w:tab/>
      </w:r>
      <w:r w:rsidR="00A42245">
        <w:t>Section 4.4(b) is deleted in its entirety and replaced with the following:</w:t>
      </w:r>
    </w:p>
    <w:p w:rsidR="00A42245" w:rsidRDefault="001B575D" w:rsidP="00227ED2">
      <w:pPr>
        <w:pStyle w:val="RAMRiderpara1"/>
        <w:ind w:left="720" w:firstLine="720"/>
      </w:pPr>
      <w:r w:rsidRPr="001B575D">
        <w:rPr>
          <w:b/>
        </w:rPr>
        <w:t>“</w:t>
      </w:r>
      <w:r w:rsidR="00350120" w:rsidRPr="00350120">
        <w:t>(b)</w:t>
      </w:r>
      <w:r w:rsidR="00350120" w:rsidRPr="00350120">
        <w:tab/>
      </w:r>
      <w:r w:rsidR="00350120" w:rsidRPr="00803896">
        <w:rPr>
          <w:u w:val="single"/>
        </w:rPr>
        <w:t>Monthly TOD Payment</w:t>
      </w:r>
      <w:r w:rsidR="00350120" w:rsidRPr="00350120">
        <w:t xml:space="preserve">.  </w:t>
      </w:r>
      <w:r w:rsidR="00350120" w:rsidRPr="00803896">
        <w:rPr>
          <w:b/>
          <w:i/>
        </w:rPr>
        <w:t>[The following bracketed clause is applicable to As Available products only] [</w:t>
      </w:r>
      <w:r w:rsidR="00350120" w:rsidRPr="00350120">
        <w:t>(Except as provided in Section 4.5,)</w:t>
      </w:r>
      <w:r w:rsidR="00350120" w:rsidRPr="00803896">
        <w:rPr>
          <w:b/>
          <w:i/>
        </w:rPr>
        <w:t>]</w:t>
      </w:r>
      <w:r w:rsidR="00350120" w:rsidRPr="00350120">
        <w:t xml:space="preserve"> For each month in each Contract Year, Buyer shall pay Seller for Delivered Energy and Deemed Delivered Energy in each TOD Period (“Monthly TOD Payment”) the amount resulting from (i) multiplying the Contract Price times the TOD Factor for the applicable TOD Period, or Unsubscribed Energy Price, as then applicable under Article</w:t>
      </w:r>
      <w:r w:rsidR="00350120">
        <w:t xml:space="preserve"> Six,</w:t>
      </w:r>
      <w:r w:rsidR="00350120" w:rsidRPr="00350120">
        <w:t xml:space="preserve"> times the sum of Delivered Energy (exclusive of Surplus Delivered Energy) for such TOD Period plus (ii) for each hour in the TOD Period, the Deemed Delivered Energy Price applicable to that hour times the TOD Factor for the applicable TOD Period or Unsubscribed Energy Price, as then applicable under Article </w:t>
      </w:r>
      <w:r w:rsidR="00350120">
        <w:t>Six</w:t>
      </w:r>
      <w:r w:rsidR="00350120" w:rsidRPr="00350120">
        <w:t>, times the amount of Deemed Delivered Energy for such hour:</w:t>
      </w:r>
    </w:p>
    <w:p w:rsidR="00350120" w:rsidRPr="00350120" w:rsidRDefault="00350120" w:rsidP="00350120">
      <w:pPr>
        <w:spacing w:after="0"/>
        <w:rPr>
          <w:rFonts w:eastAsia="Times New Roman" w:cs="Times New Roman"/>
          <w:sz w:val="18"/>
          <w:szCs w:val="18"/>
        </w:rPr>
      </w:pPr>
      <w:r w:rsidRPr="00350120">
        <w:rPr>
          <w:rFonts w:eastAsia="Times New Roman" w:cs="Times New Roman"/>
          <w:i/>
          <w:iCs/>
          <w:sz w:val="18"/>
          <w:szCs w:val="18"/>
        </w:rPr>
        <w:t xml:space="preserve">Monthly TOD Payment =  </w:t>
      </w:r>
      <w:r>
        <w:rPr>
          <w:rFonts w:eastAsia="Times New Roman" w:cs="Times New Roman"/>
          <w:noProof/>
          <w:szCs w:val="20"/>
        </w:rPr>
        <mc:AlternateContent>
          <mc:Choice Requires="wps">
            <w:drawing>
              <wp:inline distT="0" distB="0" distL="0" distR="0" wp14:anchorId="4010B3EC" wp14:editId="5BD343F8">
                <wp:extent cx="450850" cy="518795"/>
                <wp:effectExtent l="0" t="0" r="0" b="0"/>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8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416" w:rsidRDefault="002D2416" w:rsidP="00350120">
                            <w:pPr>
                              <w:spacing w:after="0"/>
                              <w:jc w:val="center"/>
                              <w:rPr>
                                <w:sz w:val="14"/>
                              </w:rPr>
                            </w:pPr>
                            <w:r>
                              <w:rPr>
                                <w:sz w:val="14"/>
                              </w:rPr>
                              <w:t>n</w:t>
                            </w:r>
                          </w:p>
                          <w:p w:rsidR="002D2416" w:rsidRDefault="002D2416" w:rsidP="00350120">
                            <w:pPr>
                              <w:spacing w:after="0"/>
                              <w:jc w:val="center"/>
                              <w:rPr>
                                <w:iCs/>
                                <w:sz w:val="24"/>
                                <w:szCs w:val="24"/>
                              </w:rPr>
                            </w:pPr>
                            <w:r>
                              <w:rPr>
                                <w:iCs/>
                                <w:sz w:val="24"/>
                                <w:szCs w:val="24"/>
                              </w:rPr>
                              <w:sym w:font="Symbol" w:char="F0E5"/>
                            </w:r>
                          </w:p>
                          <w:p w:rsidR="002D2416" w:rsidRDefault="002D2416" w:rsidP="00350120">
                            <w:r>
                              <w:rPr>
                                <w:i/>
                                <w:sz w:val="14"/>
                              </w:rPr>
                              <w:t>hour</w:t>
                            </w:r>
                            <w:r>
                              <w:rPr>
                                <w:sz w:val="14"/>
                              </w:rPr>
                              <w:t>=1</w:t>
                            </w:r>
                          </w:p>
                          <w:p w:rsidR="002D2416" w:rsidRDefault="002D2416" w:rsidP="00350120"/>
                          <w:p w:rsidR="002D2416" w:rsidRDefault="002D2416" w:rsidP="00350120">
                            <w:pPr>
                              <w:jc w:val="center"/>
                              <w:rPr>
                                <w:sz w:val="14"/>
                              </w:rPr>
                            </w:pPr>
                            <w:r>
                              <w:rPr>
                                <w:sz w:val="14"/>
                              </w:rPr>
                              <w:t>n</w:t>
                            </w:r>
                          </w:p>
                          <w:p w:rsidR="002D2416" w:rsidRDefault="002D2416" w:rsidP="00350120">
                            <w:pPr>
                              <w:jc w:val="center"/>
                              <w:rPr>
                                <w:iCs/>
                                <w:sz w:val="24"/>
                                <w:szCs w:val="24"/>
                              </w:rPr>
                            </w:pPr>
                            <w:r>
                              <w:rPr>
                                <w:iCs/>
                                <w:sz w:val="24"/>
                                <w:szCs w:val="24"/>
                              </w:rPr>
                              <w:sym w:font="Symbol" w:char="F0E5"/>
                            </w:r>
                          </w:p>
                          <w:p w:rsidR="002D2416" w:rsidRDefault="002D2416" w:rsidP="00350120">
                            <w:r>
                              <w:rPr>
                                <w:i/>
                                <w:sz w:val="14"/>
                              </w:rPr>
                              <w:t>hour</w:t>
                            </w:r>
                            <w:r>
                              <w:rPr>
                                <w:sz w:val="14"/>
                              </w:rPr>
                              <w:t>=1</w:t>
                            </w:r>
                          </w:p>
                        </w:txbxContent>
                      </wps:txbx>
                      <wps:bodyPr rot="0" vert="horz" wrap="square" lIns="91440" tIns="45720" rIns="91440" bIns="45720" anchor="t" anchorCtr="0" upright="1">
                        <a:noAutofit/>
                      </wps:bodyPr>
                    </wps:wsp>
                  </a:graphicData>
                </a:graphic>
              </wp:inline>
            </w:drawing>
          </mc:Choice>
          <mc:Fallback>
            <w:pict>
              <v:shapetype w14:anchorId="4010B3EC" id="_x0000_t202" coordsize="21600,21600" o:spt="202" path="m,l,21600r21600,l21600,xe">
                <v:stroke joinstyle="miter"/>
                <v:path gradientshapeok="t" o:connecttype="rect"/>
              </v:shapetype>
              <v:shape id="Text Box 2" o:spid="_x0000_s1026" type="#_x0000_t202" style="width:35.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" filled="f" stroked="f">
                <o:lock v:ext="edit" aspectratio="t"/>
                <v:textbox>
                  <w:txbxContent>
                    <w:p w:rsidR="002D2416" w:rsidRDefault="002D2416" w:rsidP="00350120">
                      <w:pPr>
                        <w:spacing w:after="0"/>
                        <w:jc w:val="center"/>
                        <w:rPr>
                          <w:sz w:val="14"/>
                        </w:rPr>
                      </w:pPr>
                      <w:r>
                        <w:rPr>
                          <w:sz w:val="14"/>
                        </w:rPr>
                        <w:t>n</w:t>
                      </w:r>
                    </w:p>
                    <w:p w:rsidR="002D2416" w:rsidRDefault="002D2416" w:rsidP="00350120">
                      <w:pPr>
                        <w:spacing w:after="0"/>
                        <w:jc w:val="center"/>
                        <w:rPr>
                          <w:iCs/>
                          <w:sz w:val="24"/>
                          <w:szCs w:val="24"/>
                        </w:rPr>
                      </w:pPr>
                      <w:r>
                        <w:rPr>
                          <w:iCs/>
                          <w:sz w:val="24"/>
                          <w:szCs w:val="24"/>
                        </w:rPr>
                        <w:sym w:font="Symbol" w:char="F0E5"/>
                      </w:r>
                    </w:p>
                    <w:p w:rsidR="002D2416" w:rsidRDefault="002D2416" w:rsidP="00350120">
                      <w:r>
                        <w:rPr>
                          <w:i/>
                          <w:sz w:val="14"/>
                        </w:rPr>
                        <w:t>hour</w:t>
                      </w:r>
                      <w:r>
                        <w:rPr>
                          <w:sz w:val="14"/>
                        </w:rPr>
                        <w:t>=1</w:t>
                      </w:r>
                    </w:p>
                    <w:p w:rsidR="002D2416" w:rsidRDefault="002D2416" w:rsidP="00350120"/>
                    <w:p w:rsidR="002D2416" w:rsidRDefault="002D2416" w:rsidP="00350120">
                      <w:pPr>
                        <w:jc w:val="center"/>
                        <w:rPr>
                          <w:sz w:val="14"/>
                        </w:rPr>
                      </w:pPr>
                      <w:r>
                        <w:rPr>
                          <w:sz w:val="14"/>
                        </w:rPr>
                        <w:t>n</w:t>
                      </w:r>
                    </w:p>
                    <w:p w:rsidR="002D2416" w:rsidRDefault="002D2416" w:rsidP="00350120">
                      <w:pPr>
                        <w:jc w:val="center"/>
                        <w:rPr>
                          <w:iCs/>
                          <w:sz w:val="24"/>
                          <w:szCs w:val="24"/>
                        </w:rPr>
                      </w:pPr>
                      <w:r>
                        <w:rPr>
                          <w:iCs/>
                          <w:sz w:val="24"/>
                          <w:szCs w:val="24"/>
                        </w:rPr>
                        <w:sym w:font="Symbol" w:char="F0E5"/>
                      </w:r>
                    </w:p>
                    <w:p w:rsidR="002D2416" w:rsidRDefault="002D2416" w:rsidP="00350120">
                      <w:r>
                        <w:rPr>
                          <w:i/>
                          <w:sz w:val="14"/>
                        </w:rPr>
                        <w:t>hour</w:t>
                      </w:r>
                      <w:r>
                        <w:rPr>
                          <w:sz w:val="14"/>
                        </w:rPr>
                        <w:t>=1</w:t>
                      </w:r>
                    </w:p>
                  </w:txbxContent>
                </v:textbox>
                <w10:anchorlock/>
              </v:shape>
            </w:pict>
          </mc:Fallback>
        </mc:AlternateContent>
      </w:r>
      <w:r w:rsidRPr="00350120">
        <w:rPr>
          <w:rFonts w:eastAsia="Times New Roman" w:cs="Times New Roman"/>
          <w:i/>
          <w:iCs/>
          <w:sz w:val="18"/>
          <w:szCs w:val="18"/>
        </w:rPr>
        <w:t xml:space="preserve"> ([Contract Price $] </w:t>
      </w:r>
      <w:r w:rsidRPr="00350120">
        <w:rPr>
          <w:rFonts w:eastAsia="Times New Roman" w:cs="Times New Roman"/>
          <w:iCs/>
          <w:sz w:val="18"/>
          <w:szCs w:val="18"/>
        </w:rPr>
        <w:t>×</w:t>
      </w:r>
      <w:r w:rsidRPr="00350120">
        <w:rPr>
          <w:rFonts w:eastAsia="Times New Roman" w:cs="Times New Roman"/>
          <w:i/>
          <w:iCs/>
          <w:sz w:val="18"/>
          <w:szCs w:val="18"/>
        </w:rPr>
        <w:t xml:space="preserve"> TOD Factor × Delivered Energy </w:t>
      </w:r>
      <w:proofErr w:type="spellStart"/>
      <w:proofErr w:type="gramStart"/>
      <w:r w:rsidRPr="00350120">
        <w:rPr>
          <w:rFonts w:eastAsia="Times New Roman" w:cs="Times New Roman"/>
          <w:i/>
          <w:iCs/>
          <w:sz w:val="18"/>
          <w:szCs w:val="18"/>
        </w:rPr>
        <w:t>MWh</w:t>
      </w:r>
      <w:r w:rsidRPr="00350120">
        <w:rPr>
          <w:rFonts w:eastAsia="Times New Roman" w:cs="Times New Roman"/>
          <w:i/>
          <w:iCs/>
          <w:sz w:val="18"/>
          <w:szCs w:val="18"/>
          <w:vertAlign w:val="subscript"/>
        </w:rPr>
        <w:t>hour</w:t>
      </w:r>
      <w:proofErr w:type="spellEnd"/>
      <w:r w:rsidRPr="00350120">
        <w:rPr>
          <w:rFonts w:eastAsia="Times New Roman" w:cs="Times New Roman"/>
          <w:sz w:val="18"/>
          <w:szCs w:val="18"/>
          <w:vertAlign w:val="subscript"/>
        </w:rPr>
        <w:t xml:space="preserve"> </w:t>
      </w:r>
      <w:r w:rsidRPr="00350120">
        <w:rPr>
          <w:rFonts w:eastAsia="Times New Roman" w:cs="Times New Roman"/>
          <w:sz w:val="18"/>
          <w:szCs w:val="18"/>
        </w:rPr>
        <w:t>)</w:t>
      </w:r>
      <w:proofErr w:type="gramEnd"/>
      <w:r w:rsidRPr="00350120">
        <w:rPr>
          <w:rFonts w:eastAsia="Times New Roman" w:cs="Times New Roman"/>
          <w:i/>
          <w:sz w:val="18"/>
          <w:szCs w:val="18"/>
        </w:rPr>
        <w:t xml:space="preserve"> + ([Deemed Delivered Energy </w:t>
      </w:r>
      <w:proofErr w:type="spellStart"/>
      <w:r w:rsidRPr="00350120">
        <w:rPr>
          <w:rFonts w:eastAsia="Times New Roman" w:cs="Times New Roman"/>
          <w:i/>
          <w:sz w:val="18"/>
          <w:szCs w:val="18"/>
        </w:rPr>
        <w:t>Price</w:t>
      </w:r>
      <w:r w:rsidRPr="00350120">
        <w:rPr>
          <w:rFonts w:eastAsia="Times New Roman" w:cs="Times New Roman"/>
          <w:i/>
          <w:iCs/>
          <w:sz w:val="18"/>
          <w:szCs w:val="18"/>
          <w:vertAlign w:val="subscript"/>
        </w:rPr>
        <w:t>hour</w:t>
      </w:r>
      <w:proofErr w:type="spellEnd"/>
      <w:r w:rsidRPr="00350120">
        <w:rPr>
          <w:rFonts w:eastAsia="Times New Roman" w:cs="Times New Roman"/>
          <w:i/>
          <w:sz w:val="18"/>
          <w:szCs w:val="18"/>
        </w:rPr>
        <w:t xml:space="preserve"> </w:t>
      </w:r>
      <w:r w:rsidRPr="00350120">
        <w:rPr>
          <w:rFonts w:eastAsia="Times New Roman" w:cs="Times New Roman"/>
          <w:i/>
          <w:iCs/>
          <w:sz w:val="18"/>
          <w:szCs w:val="18"/>
        </w:rPr>
        <w:t>$</w:t>
      </w:r>
      <w:r w:rsidRPr="00350120">
        <w:rPr>
          <w:rFonts w:eastAsia="Times New Roman" w:cs="Times New Roman"/>
          <w:i/>
          <w:sz w:val="18"/>
          <w:szCs w:val="18"/>
        </w:rPr>
        <w:t>]</w:t>
      </w:r>
      <w:r w:rsidRPr="00350120">
        <w:rPr>
          <w:rFonts w:eastAsia="Times New Roman" w:cs="Times New Roman"/>
          <w:i/>
          <w:iCs/>
          <w:sz w:val="18"/>
          <w:szCs w:val="18"/>
        </w:rPr>
        <w:t xml:space="preserve"> </w:t>
      </w:r>
      <w:r w:rsidRPr="00350120">
        <w:rPr>
          <w:rFonts w:eastAsia="Times New Roman" w:cs="Times New Roman"/>
          <w:iCs/>
          <w:sz w:val="18"/>
          <w:szCs w:val="18"/>
        </w:rPr>
        <w:t xml:space="preserve">× </w:t>
      </w:r>
      <w:r w:rsidRPr="00350120">
        <w:rPr>
          <w:rFonts w:eastAsia="Times New Roman" w:cs="Times New Roman"/>
          <w:i/>
          <w:iCs/>
          <w:sz w:val="18"/>
          <w:szCs w:val="18"/>
        </w:rPr>
        <w:t xml:space="preserve">TOD Factor </w:t>
      </w:r>
      <w:r w:rsidRPr="00350120">
        <w:rPr>
          <w:rFonts w:eastAsia="Times New Roman" w:cs="Times New Roman"/>
          <w:iCs/>
          <w:sz w:val="18"/>
          <w:szCs w:val="18"/>
        </w:rPr>
        <w:t>×</w:t>
      </w:r>
      <w:r w:rsidRPr="00350120">
        <w:rPr>
          <w:rFonts w:eastAsia="Times New Roman" w:cs="Times New Roman"/>
          <w:i/>
          <w:iCs/>
          <w:sz w:val="18"/>
          <w:szCs w:val="18"/>
        </w:rPr>
        <w:t xml:space="preserve"> </w:t>
      </w:r>
      <w:r w:rsidRPr="00350120">
        <w:rPr>
          <w:rFonts w:eastAsia="Times New Roman" w:cs="Times New Roman"/>
          <w:i/>
          <w:sz w:val="18"/>
          <w:szCs w:val="18"/>
        </w:rPr>
        <w:t xml:space="preserve">Deemed Delivered Energy </w:t>
      </w:r>
      <w:proofErr w:type="spellStart"/>
      <w:r w:rsidRPr="00350120">
        <w:rPr>
          <w:rFonts w:eastAsia="Times New Roman" w:cs="Times New Roman"/>
          <w:i/>
          <w:iCs/>
          <w:sz w:val="18"/>
          <w:szCs w:val="18"/>
        </w:rPr>
        <w:t>MWh</w:t>
      </w:r>
      <w:r w:rsidRPr="00350120">
        <w:rPr>
          <w:rFonts w:eastAsia="Times New Roman" w:cs="Times New Roman"/>
          <w:i/>
          <w:iCs/>
          <w:sz w:val="18"/>
          <w:szCs w:val="18"/>
          <w:vertAlign w:val="subscript"/>
        </w:rPr>
        <w:t>hour</w:t>
      </w:r>
      <w:proofErr w:type="spellEnd"/>
      <w:r w:rsidRPr="00350120">
        <w:rPr>
          <w:rFonts w:eastAsia="Times New Roman" w:cs="Times New Roman"/>
          <w:sz w:val="18"/>
          <w:szCs w:val="18"/>
        </w:rPr>
        <w:t>)</w:t>
      </w:r>
    </w:p>
    <w:p w:rsidR="00CA5790" w:rsidRPr="00CA5790" w:rsidRDefault="00CA5790" w:rsidP="00803896">
      <w:pPr>
        <w:pStyle w:val="RAMRiderpara1"/>
        <w:spacing w:before="240"/>
        <w:ind w:left="720" w:firstLine="720"/>
        <w:rPr>
          <w:b/>
        </w:rPr>
      </w:pPr>
      <w:r w:rsidRPr="00CA5790">
        <w:rPr>
          <w:b/>
        </w:rPr>
        <w:t>OR, as applicable:</w:t>
      </w:r>
    </w:p>
    <w:p w:rsidR="00CA5790" w:rsidRPr="00350120" w:rsidRDefault="00CA5790" w:rsidP="00CA5790">
      <w:pPr>
        <w:spacing w:after="0"/>
        <w:rPr>
          <w:rFonts w:eastAsia="Times New Roman" w:cs="Times New Roman"/>
          <w:sz w:val="18"/>
          <w:szCs w:val="18"/>
        </w:rPr>
      </w:pPr>
      <w:r w:rsidRPr="00350120">
        <w:rPr>
          <w:rFonts w:eastAsia="Times New Roman" w:cs="Times New Roman"/>
          <w:i/>
          <w:iCs/>
          <w:sz w:val="18"/>
          <w:szCs w:val="18"/>
        </w:rPr>
        <w:lastRenderedPageBreak/>
        <w:t xml:space="preserve">Monthly TOD Payment =  </w:t>
      </w:r>
      <w:r>
        <w:rPr>
          <w:rFonts w:eastAsia="Times New Roman" w:cs="Times New Roman"/>
          <w:noProof/>
          <w:szCs w:val="20"/>
        </w:rPr>
        <mc:AlternateContent>
          <mc:Choice Requires="wps">
            <w:drawing>
              <wp:inline distT="0" distB="0" distL="0" distR="0" wp14:anchorId="52E355C3" wp14:editId="765DFD6B">
                <wp:extent cx="450850" cy="518795"/>
                <wp:effectExtent l="0" t="0" r="0" b="0"/>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85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416" w:rsidRDefault="002D2416" w:rsidP="00CA5790">
                            <w:pPr>
                              <w:spacing w:after="0"/>
                              <w:jc w:val="center"/>
                              <w:rPr>
                                <w:sz w:val="14"/>
                              </w:rPr>
                            </w:pPr>
                            <w:r>
                              <w:rPr>
                                <w:sz w:val="14"/>
                              </w:rPr>
                              <w:t>n</w:t>
                            </w:r>
                          </w:p>
                          <w:p w:rsidR="002D2416" w:rsidRDefault="002D2416" w:rsidP="00CA5790">
                            <w:pPr>
                              <w:spacing w:after="0"/>
                              <w:jc w:val="center"/>
                              <w:rPr>
                                <w:iCs/>
                                <w:sz w:val="24"/>
                                <w:szCs w:val="24"/>
                              </w:rPr>
                            </w:pPr>
                            <w:r>
                              <w:rPr>
                                <w:iCs/>
                                <w:sz w:val="24"/>
                                <w:szCs w:val="24"/>
                              </w:rPr>
                              <w:sym w:font="Symbol" w:char="F0E5"/>
                            </w:r>
                          </w:p>
                          <w:p w:rsidR="002D2416" w:rsidRDefault="002D2416" w:rsidP="00CA5790">
                            <w:r>
                              <w:rPr>
                                <w:i/>
                                <w:sz w:val="14"/>
                              </w:rPr>
                              <w:t>hour</w:t>
                            </w:r>
                            <w:r>
                              <w:rPr>
                                <w:sz w:val="14"/>
                              </w:rPr>
                              <w:t>=1</w:t>
                            </w:r>
                          </w:p>
                          <w:p w:rsidR="002D2416" w:rsidRDefault="002D2416" w:rsidP="00CA5790"/>
                          <w:p w:rsidR="002D2416" w:rsidRDefault="002D2416" w:rsidP="00CA5790">
                            <w:pPr>
                              <w:jc w:val="center"/>
                              <w:rPr>
                                <w:sz w:val="14"/>
                              </w:rPr>
                            </w:pPr>
                            <w:r>
                              <w:rPr>
                                <w:sz w:val="14"/>
                              </w:rPr>
                              <w:t>n</w:t>
                            </w:r>
                          </w:p>
                          <w:p w:rsidR="002D2416" w:rsidRDefault="002D2416" w:rsidP="00CA5790">
                            <w:pPr>
                              <w:jc w:val="center"/>
                              <w:rPr>
                                <w:iCs/>
                                <w:sz w:val="24"/>
                                <w:szCs w:val="24"/>
                              </w:rPr>
                            </w:pPr>
                            <w:r>
                              <w:rPr>
                                <w:iCs/>
                                <w:sz w:val="24"/>
                                <w:szCs w:val="24"/>
                              </w:rPr>
                              <w:sym w:font="Symbol" w:char="F0E5"/>
                            </w:r>
                          </w:p>
                          <w:p w:rsidR="002D2416" w:rsidRDefault="002D2416" w:rsidP="00CA5790">
                            <w:r>
                              <w:rPr>
                                <w:i/>
                                <w:sz w:val="14"/>
                              </w:rPr>
                              <w:t>hour</w:t>
                            </w:r>
                            <w:r>
                              <w:rPr>
                                <w:sz w:val="14"/>
                              </w:rPr>
                              <w:t>=1</w:t>
                            </w:r>
                          </w:p>
                        </w:txbxContent>
                      </wps:txbx>
                      <wps:bodyPr rot="0" vert="horz" wrap="square" lIns="91440" tIns="45720" rIns="91440" bIns="45720" anchor="t" anchorCtr="0" upright="1">
                        <a:noAutofit/>
                      </wps:bodyPr>
                    </wps:wsp>
                  </a:graphicData>
                </a:graphic>
              </wp:inline>
            </w:drawing>
          </mc:Choice>
          <mc:Fallback>
            <w:pict>
              <v:shape w14:anchorId="52E355C3" id="Text Box 3" o:spid="_x0000_s1027" type="#_x0000_t202" style="width:35.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" filled="f" stroked="f">
                <o:lock v:ext="edit" aspectratio="t"/>
                <v:textbox>
                  <w:txbxContent>
                    <w:p w:rsidR="002D2416" w:rsidRDefault="002D2416" w:rsidP="00CA5790">
                      <w:pPr>
                        <w:spacing w:after="0"/>
                        <w:jc w:val="center"/>
                        <w:rPr>
                          <w:sz w:val="14"/>
                        </w:rPr>
                      </w:pPr>
                      <w:r>
                        <w:rPr>
                          <w:sz w:val="14"/>
                        </w:rPr>
                        <w:t>n</w:t>
                      </w:r>
                    </w:p>
                    <w:p w:rsidR="002D2416" w:rsidRDefault="002D2416" w:rsidP="00CA5790">
                      <w:pPr>
                        <w:spacing w:after="0"/>
                        <w:jc w:val="center"/>
                        <w:rPr>
                          <w:iCs/>
                          <w:sz w:val="24"/>
                          <w:szCs w:val="24"/>
                        </w:rPr>
                      </w:pPr>
                      <w:r>
                        <w:rPr>
                          <w:iCs/>
                          <w:sz w:val="24"/>
                          <w:szCs w:val="24"/>
                        </w:rPr>
                        <w:sym w:font="Symbol" w:char="F0E5"/>
                      </w:r>
                    </w:p>
                    <w:p w:rsidR="002D2416" w:rsidRDefault="002D2416" w:rsidP="00CA5790">
                      <w:r>
                        <w:rPr>
                          <w:i/>
                          <w:sz w:val="14"/>
                        </w:rPr>
                        <w:t>hour</w:t>
                      </w:r>
                      <w:r>
                        <w:rPr>
                          <w:sz w:val="14"/>
                        </w:rPr>
                        <w:t>=1</w:t>
                      </w:r>
                    </w:p>
                    <w:p w:rsidR="002D2416" w:rsidRDefault="002D2416" w:rsidP="00CA5790"/>
                    <w:p w:rsidR="002D2416" w:rsidRDefault="002D2416" w:rsidP="00CA5790">
                      <w:pPr>
                        <w:jc w:val="center"/>
                        <w:rPr>
                          <w:sz w:val="14"/>
                        </w:rPr>
                      </w:pPr>
                      <w:r>
                        <w:rPr>
                          <w:sz w:val="14"/>
                        </w:rPr>
                        <w:t>n</w:t>
                      </w:r>
                    </w:p>
                    <w:p w:rsidR="002D2416" w:rsidRDefault="002D2416" w:rsidP="00CA5790">
                      <w:pPr>
                        <w:jc w:val="center"/>
                        <w:rPr>
                          <w:iCs/>
                          <w:sz w:val="24"/>
                          <w:szCs w:val="24"/>
                        </w:rPr>
                      </w:pPr>
                      <w:r>
                        <w:rPr>
                          <w:iCs/>
                          <w:sz w:val="24"/>
                          <w:szCs w:val="24"/>
                        </w:rPr>
                        <w:sym w:font="Symbol" w:char="F0E5"/>
                      </w:r>
                    </w:p>
                    <w:p w:rsidR="002D2416" w:rsidRDefault="002D2416" w:rsidP="00CA5790">
                      <w:r>
                        <w:rPr>
                          <w:i/>
                          <w:sz w:val="14"/>
                        </w:rPr>
                        <w:t>hour</w:t>
                      </w:r>
                      <w:r>
                        <w:rPr>
                          <w:sz w:val="14"/>
                        </w:rPr>
                        <w:t>=1</w:t>
                      </w:r>
                    </w:p>
                  </w:txbxContent>
                </v:textbox>
                <w10:anchorlock/>
              </v:shape>
            </w:pict>
          </mc:Fallback>
        </mc:AlternateContent>
      </w:r>
      <w:r w:rsidRPr="00350120">
        <w:rPr>
          <w:rFonts w:eastAsia="Times New Roman" w:cs="Times New Roman"/>
          <w:i/>
          <w:iCs/>
          <w:sz w:val="18"/>
          <w:szCs w:val="18"/>
        </w:rPr>
        <w:t xml:space="preserve"> (</w:t>
      </w:r>
      <w:r w:rsidR="005C1A06">
        <w:rPr>
          <w:rFonts w:eastAsia="Times New Roman" w:cs="Times New Roman"/>
          <w:i/>
          <w:iCs/>
          <w:sz w:val="18"/>
          <w:szCs w:val="18"/>
        </w:rPr>
        <w:t xml:space="preserve">Unsubscribed Energy </w:t>
      </w:r>
      <w:r w:rsidRPr="00350120">
        <w:rPr>
          <w:rFonts w:eastAsia="Times New Roman" w:cs="Times New Roman"/>
          <w:i/>
          <w:iCs/>
          <w:sz w:val="18"/>
          <w:szCs w:val="18"/>
        </w:rPr>
        <w:t xml:space="preserve">Price $ × Delivered Energy </w:t>
      </w:r>
      <w:proofErr w:type="spellStart"/>
      <w:proofErr w:type="gramStart"/>
      <w:r w:rsidRPr="00350120">
        <w:rPr>
          <w:rFonts w:eastAsia="Times New Roman" w:cs="Times New Roman"/>
          <w:i/>
          <w:iCs/>
          <w:sz w:val="18"/>
          <w:szCs w:val="18"/>
        </w:rPr>
        <w:t>MWh</w:t>
      </w:r>
      <w:r w:rsidRPr="00350120">
        <w:rPr>
          <w:rFonts w:eastAsia="Times New Roman" w:cs="Times New Roman"/>
          <w:i/>
          <w:iCs/>
          <w:sz w:val="18"/>
          <w:szCs w:val="18"/>
          <w:vertAlign w:val="subscript"/>
        </w:rPr>
        <w:t>hour</w:t>
      </w:r>
      <w:proofErr w:type="spellEnd"/>
      <w:r w:rsidRPr="00350120">
        <w:rPr>
          <w:rFonts w:eastAsia="Times New Roman" w:cs="Times New Roman"/>
          <w:sz w:val="18"/>
          <w:szCs w:val="18"/>
          <w:vertAlign w:val="subscript"/>
        </w:rPr>
        <w:t xml:space="preserve"> </w:t>
      </w:r>
      <w:r w:rsidRPr="00350120">
        <w:rPr>
          <w:rFonts w:eastAsia="Times New Roman" w:cs="Times New Roman"/>
          <w:sz w:val="18"/>
          <w:szCs w:val="18"/>
        </w:rPr>
        <w:t>)</w:t>
      </w:r>
      <w:proofErr w:type="gramEnd"/>
      <w:r w:rsidRPr="00350120">
        <w:rPr>
          <w:rFonts w:eastAsia="Times New Roman" w:cs="Times New Roman"/>
          <w:i/>
          <w:sz w:val="18"/>
          <w:szCs w:val="18"/>
        </w:rPr>
        <w:t xml:space="preserve"> + (</w:t>
      </w:r>
      <w:r>
        <w:rPr>
          <w:rFonts w:eastAsia="Times New Roman" w:cs="Times New Roman"/>
          <w:i/>
          <w:sz w:val="18"/>
          <w:szCs w:val="18"/>
        </w:rPr>
        <w:t>Unsubscribed</w:t>
      </w:r>
      <w:r w:rsidR="00803896">
        <w:rPr>
          <w:rFonts w:eastAsia="Times New Roman" w:cs="Times New Roman"/>
          <w:i/>
          <w:sz w:val="18"/>
          <w:szCs w:val="18"/>
        </w:rPr>
        <w:t xml:space="preserve"> </w:t>
      </w:r>
      <w:r w:rsidRPr="00350120">
        <w:rPr>
          <w:rFonts w:eastAsia="Times New Roman" w:cs="Times New Roman"/>
          <w:i/>
          <w:sz w:val="18"/>
          <w:szCs w:val="18"/>
        </w:rPr>
        <w:t xml:space="preserve">Energy </w:t>
      </w:r>
      <w:proofErr w:type="spellStart"/>
      <w:r w:rsidRPr="00350120">
        <w:rPr>
          <w:rFonts w:eastAsia="Times New Roman" w:cs="Times New Roman"/>
          <w:i/>
          <w:sz w:val="18"/>
          <w:szCs w:val="18"/>
        </w:rPr>
        <w:t>Price</w:t>
      </w:r>
      <w:r w:rsidRPr="00350120">
        <w:rPr>
          <w:rFonts w:eastAsia="Times New Roman" w:cs="Times New Roman"/>
          <w:i/>
          <w:iCs/>
          <w:sz w:val="18"/>
          <w:szCs w:val="18"/>
          <w:vertAlign w:val="subscript"/>
        </w:rPr>
        <w:t>hour</w:t>
      </w:r>
      <w:proofErr w:type="spellEnd"/>
      <w:r w:rsidRPr="00350120">
        <w:rPr>
          <w:rFonts w:eastAsia="Times New Roman" w:cs="Times New Roman"/>
          <w:i/>
          <w:sz w:val="18"/>
          <w:szCs w:val="18"/>
        </w:rPr>
        <w:t xml:space="preserve"> </w:t>
      </w:r>
      <w:r w:rsidRPr="00350120">
        <w:rPr>
          <w:rFonts w:eastAsia="Times New Roman" w:cs="Times New Roman"/>
          <w:i/>
          <w:iCs/>
          <w:sz w:val="18"/>
          <w:szCs w:val="18"/>
        </w:rPr>
        <w:t xml:space="preserve">$ </w:t>
      </w:r>
      <w:r w:rsidRPr="00350120">
        <w:rPr>
          <w:rFonts w:eastAsia="Times New Roman" w:cs="Times New Roman"/>
          <w:iCs/>
          <w:sz w:val="18"/>
          <w:szCs w:val="18"/>
        </w:rPr>
        <w:t>×</w:t>
      </w:r>
      <w:r w:rsidRPr="00350120">
        <w:rPr>
          <w:rFonts w:eastAsia="Times New Roman" w:cs="Times New Roman"/>
          <w:i/>
          <w:iCs/>
          <w:sz w:val="18"/>
          <w:szCs w:val="18"/>
        </w:rPr>
        <w:t xml:space="preserve"> </w:t>
      </w:r>
      <w:r w:rsidRPr="00350120">
        <w:rPr>
          <w:rFonts w:eastAsia="Times New Roman" w:cs="Times New Roman"/>
          <w:i/>
          <w:sz w:val="18"/>
          <w:szCs w:val="18"/>
        </w:rPr>
        <w:t xml:space="preserve">Deemed Delivered Energy </w:t>
      </w:r>
      <w:proofErr w:type="spellStart"/>
      <w:r w:rsidRPr="00350120">
        <w:rPr>
          <w:rFonts w:eastAsia="Times New Roman" w:cs="Times New Roman"/>
          <w:i/>
          <w:iCs/>
          <w:sz w:val="18"/>
          <w:szCs w:val="18"/>
        </w:rPr>
        <w:t>MWh</w:t>
      </w:r>
      <w:r w:rsidRPr="00350120">
        <w:rPr>
          <w:rFonts w:eastAsia="Times New Roman" w:cs="Times New Roman"/>
          <w:i/>
          <w:iCs/>
          <w:sz w:val="18"/>
          <w:szCs w:val="18"/>
          <w:vertAlign w:val="subscript"/>
        </w:rPr>
        <w:t>hour</w:t>
      </w:r>
      <w:proofErr w:type="spellEnd"/>
      <w:r w:rsidRPr="00350120">
        <w:rPr>
          <w:rFonts w:eastAsia="Times New Roman" w:cs="Times New Roman"/>
          <w:sz w:val="18"/>
          <w:szCs w:val="18"/>
        </w:rPr>
        <w:t>)</w:t>
      </w:r>
      <w:r w:rsidR="001B575D" w:rsidRPr="001B575D">
        <w:rPr>
          <w:rFonts w:eastAsia="Times New Roman" w:cs="Times New Roman"/>
        </w:rPr>
        <w:t xml:space="preserve"> </w:t>
      </w:r>
      <w:r w:rsidR="001B575D" w:rsidRPr="001B575D">
        <w:rPr>
          <w:rFonts w:eastAsia="Times New Roman" w:cs="Times New Roman"/>
          <w:b/>
        </w:rPr>
        <w:t>”</w:t>
      </w:r>
    </w:p>
    <w:p w:rsidR="00350120" w:rsidRDefault="00350120" w:rsidP="00CA5790">
      <w:pPr>
        <w:pStyle w:val="RAMRiderpara1"/>
        <w:ind w:left="720" w:firstLine="720"/>
      </w:pPr>
    </w:p>
    <w:p w:rsidR="00440B95" w:rsidRDefault="00FB74EA" w:rsidP="00FB74EA">
      <w:pPr>
        <w:pStyle w:val="RAMRiderpara1"/>
      </w:pPr>
      <w:r w:rsidRPr="00FB74EA">
        <w:rPr>
          <w:b/>
        </w:rPr>
        <w:t>1</w:t>
      </w:r>
      <w:r w:rsidR="00DB1696">
        <w:rPr>
          <w:b/>
        </w:rPr>
        <w:t>7</w:t>
      </w:r>
      <w:r w:rsidRPr="00FB74EA">
        <w:rPr>
          <w:b/>
        </w:rPr>
        <w:t>.</w:t>
      </w:r>
      <w:r w:rsidR="008670FB">
        <w:tab/>
        <w:t>Section 4.4(d) “</w:t>
      </w:r>
      <w:r w:rsidR="008670FB" w:rsidRPr="008670FB">
        <w:rPr>
          <w:u w:val="single"/>
        </w:rPr>
        <w:t>Applicability of Full Capacity Deliverability Status TOD Factors</w:t>
      </w:r>
      <w:r w:rsidR="008670FB" w:rsidRPr="008670FB">
        <w:t>”</w:t>
      </w:r>
      <w:r w:rsidR="008670FB">
        <w:t xml:space="preserve"> does not apply and is deleted in its entirety.</w:t>
      </w:r>
    </w:p>
    <w:p w:rsidR="00440B95" w:rsidRDefault="00FB74EA" w:rsidP="00FB74EA">
      <w:pPr>
        <w:pStyle w:val="RAMRiderpara1"/>
      </w:pPr>
      <w:r w:rsidRPr="00FB74EA">
        <w:rPr>
          <w:b/>
        </w:rPr>
        <w:t>1</w:t>
      </w:r>
      <w:r w:rsidR="00DB1696">
        <w:rPr>
          <w:b/>
        </w:rPr>
        <w:t>8</w:t>
      </w:r>
      <w:r w:rsidRPr="00FB74EA">
        <w:rPr>
          <w:b/>
        </w:rPr>
        <w:t>.</w:t>
      </w:r>
      <w:r w:rsidR="008670FB">
        <w:tab/>
        <w:t xml:space="preserve">Section 4.5(a)(ii) is deleted in its entirety and replaced </w:t>
      </w:r>
      <w:r w:rsidR="002C2D84">
        <w:t>as shown below</w:t>
      </w:r>
      <w:r w:rsidR="008670FB">
        <w:t xml:space="preserve"> </w:t>
      </w:r>
      <w:r w:rsidR="003B70AD" w:rsidRPr="003B70AD">
        <w:rPr>
          <w:b/>
        </w:rPr>
        <w:t>(</w:t>
      </w:r>
      <w:r w:rsidR="002C2D84" w:rsidRPr="003B70AD">
        <w:rPr>
          <w:b/>
        </w:rPr>
        <w:t>P</w:t>
      </w:r>
      <w:r w:rsidR="008670FB" w:rsidRPr="003B70AD">
        <w:rPr>
          <w:b/>
        </w:rPr>
        <w:t xml:space="preserve">lease note that the sentence directly below the second equation </w:t>
      </w:r>
      <w:r w:rsidR="002C2D84" w:rsidRPr="003B70AD">
        <w:rPr>
          <w:b/>
        </w:rPr>
        <w:t xml:space="preserve">in the Agreement is associated with Section 4.5(a) and not 4.5(a)(ii) and thus </w:t>
      </w:r>
      <w:r w:rsidR="003B70AD" w:rsidRPr="003B70AD">
        <w:rPr>
          <w:b/>
        </w:rPr>
        <w:t>continues to apply.)</w:t>
      </w:r>
      <w:r w:rsidR="008670FB">
        <w:t>:</w:t>
      </w:r>
    </w:p>
    <w:p w:rsidR="00C1719F" w:rsidRPr="00C37502" w:rsidRDefault="008670FB" w:rsidP="00C1719F">
      <w:pPr>
        <w:ind w:left="720" w:firstLine="720"/>
      </w:pPr>
      <w:r w:rsidRPr="008670FB">
        <w:rPr>
          <w:rFonts w:eastAsia="Times New Roman" w:cs="Times New Roman"/>
          <w:b/>
          <w:szCs w:val="20"/>
        </w:rPr>
        <w:t>“</w:t>
      </w:r>
      <w:r w:rsidRPr="008670FB">
        <w:rPr>
          <w:rFonts w:eastAsia="Times New Roman" w:cs="Times New Roman"/>
          <w:szCs w:val="20"/>
        </w:rPr>
        <w:t>(ii)</w:t>
      </w:r>
      <w:r w:rsidRPr="008670FB">
        <w:rPr>
          <w:rFonts w:eastAsia="Times New Roman" w:cs="Times New Roman"/>
          <w:szCs w:val="20"/>
        </w:rPr>
        <w:tab/>
        <w:t>for the remainder of such Contract Year:</w:t>
      </w:r>
      <w:r w:rsidR="00C1719F" w:rsidRPr="00C1719F">
        <w:t xml:space="preserve"> </w:t>
      </w:r>
    </w:p>
    <w:p w:rsidR="008D750B" w:rsidRPr="005402ED" w:rsidRDefault="008670FB" w:rsidP="008D750B">
      <w:pPr>
        <w:ind w:left="720" w:firstLine="1440"/>
      </w:pPr>
      <w:r w:rsidRPr="008670FB">
        <w:rPr>
          <w:rFonts w:eastAsia="Times New Roman" w:cs="Times New Roman"/>
          <w:szCs w:val="20"/>
        </w:rPr>
        <w:t>(A)</w:t>
      </w:r>
      <w:r w:rsidRPr="008670FB">
        <w:rPr>
          <w:rFonts w:eastAsia="Times New Roman" w:cs="Times New Roman"/>
          <w:szCs w:val="20"/>
        </w:rPr>
        <w:tab/>
        <w:t xml:space="preserve">for every MWh of Excess Delivered Energy, the price paid to Seller shall be the lesser of (I) or (II), where (I) is seventy-five percent (75%) of </w:t>
      </w:r>
      <w:r w:rsidR="005C1A06">
        <w:rPr>
          <w:rFonts w:eastAsia="Times New Roman" w:cs="Times New Roman"/>
          <w:szCs w:val="20"/>
        </w:rPr>
        <w:t xml:space="preserve">(1) </w:t>
      </w:r>
      <w:r w:rsidRPr="008670FB">
        <w:rPr>
          <w:rFonts w:eastAsia="Times New Roman" w:cs="Times New Roman"/>
          <w:szCs w:val="20"/>
        </w:rPr>
        <w:t>the Contract Price</w:t>
      </w:r>
      <w:r w:rsidR="005C1A06">
        <w:rPr>
          <w:rFonts w:eastAsia="Times New Roman" w:cs="Times New Roman"/>
          <w:szCs w:val="20"/>
        </w:rPr>
        <w:t xml:space="preserve"> </w:t>
      </w:r>
      <w:r w:rsidRPr="008670FB">
        <w:rPr>
          <w:rFonts w:eastAsia="Times New Roman" w:cs="Times New Roman"/>
          <w:szCs w:val="20"/>
        </w:rPr>
        <w:t xml:space="preserve">for such Contract Year times the TOD Factor for the applicable TOD Period </w:t>
      </w:r>
      <w:r w:rsidR="005C1A06">
        <w:rPr>
          <w:rFonts w:eastAsia="Times New Roman" w:cs="Times New Roman"/>
          <w:szCs w:val="20"/>
        </w:rPr>
        <w:t xml:space="preserve">or (2) Unsubscribed Energy Price, as then applicable under Article Six, </w:t>
      </w:r>
      <w:r w:rsidRPr="008670FB">
        <w:rPr>
          <w:rFonts w:eastAsia="Times New Roman" w:cs="Times New Roman"/>
          <w:szCs w:val="20"/>
        </w:rPr>
        <w:t>and (II) is the hourly DA Price at the Delivery Point (the “Excess Delivered Energy Price”); and</w:t>
      </w:r>
    </w:p>
    <w:p w:rsidR="008D750B" w:rsidRPr="005402ED" w:rsidRDefault="008670FB" w:rsidP="008D750B">
      <w:pPr>
        <w:ind w:left="720" w:firstLine="1440"/>
      </w:pPr>
      <w:r w:rsidRPr="008670FB">
        <w:rPr>
          <w:rFonts w:eastAsia="Times New Roman" w:cs="Times New Roman"/>
          <w:szCs w:val="20"/>
        </w:rPr>
        <w:t>(B)</w:t>
      </w:r>
      <w:r w:rsidRPr="008670FB">
        <w:rPr>
          <w:rFonts w:eastAsia="Times New Roman" w:cs="Times New Roman"/>
          <w:szCs w:val="20"/>
        </w:rPr>
        <w:tab/>
        <w:t xml:space="preserve">for every MWh of Excess Deemed Delivered Energy the price paid to Seller shall be the lesser of (I) and (II) where (I) is seventy-five percent (75%) of </w:t>
      </w:r>
      <w:r w:rsidR="005C1A06">
        <w:rPr>
          <w:rFonts w:eastAsia="Times New Roman" w:cs="Times New Roman"/>
          <w:szCs w:val="20"/>
        </w:rPr>
        <w:t xml:space="preserve">(1) </w:t>
      </w:r>
      <w:r w:rsidRPr="008670FB">
        <w:rPr>
          <w:rFonts w:eastAsia="Times New Roman" w:cs="Times New Roman"/>
          <w:szCs w:val="20"/>
        </w:rPr>
        <w:t xml:space="preserve">the Deemed Delivered Energy Price times the TOD Factor for the applicable TOD Period </w:t>
      </w:r>
      <w:r w:rsidR="005C1A06">
        <w:rPr>
          <w:rFonts w:eastAsia="Times New Roman" w:cs="Times New Roman"/>
          <w:szCs w:val="20"/>
        </w:rPr>
        <w:t>or (2) Unsubscribed Energy Price, as then applicable under Article Six</w:t>
      </w:r>
      <w:r w:rsidR="005C1A06" w:rsidRPr="008670FB">
        <w:rPr>
          <w:rFonts w:eastAsia="Times New Roman" w:cs="Times New Roman"/>
          <w:szCs w:val="20"/>
        </w:rPr>
        <w:t xml:space="preserve"> </w:t>
      </w:r>
      <w:r w:rsidRPr="008670FB">
        <w:rPr>
          <w:rFonts w:eastAsia="Times New Roman" w:cs="Times New Roman"/>
          <w:szCs w:val="20"/>
        </w:rPr>
        <w:t>and (II) is the hourly DA Price at the Delivery Point (the “Excess Deemed Delivered Energy Price”).</w:t>
      </w:r>
      <w:r w:rsidR="008D750B" w:rsidRPr="008D750B">
        <w:t xml:space="preserve"> </w:t>
      </w:r>
    </w:p>
    <w:p w:rsidR="008670FB" w:rsidRPr="00C70EE5" w:rsidRDefault="008670FB" w:rsidP="008670FB">
      <w:pPr>
        <w:rPr>
          <w:rFonts w:eastAsia="Times New Roman" w:cs="Times New Roman"/>
          <w:i/>
          <w:sz w:val="18"/>
          <w:szCs w:val="18"/>
        </w:rPr>
      </w:pPr>
      <w:r w:rsidRPr="00C70EE5">
        <w:rPr>
          <w:rFonts w:eastAsia="Times New Roman" w:cs="Times New Roman"/>
          <w:i/>
          <w:iCs/>
          <w:sz w:val="18"/>
          <w:szCs w:val="18"/>
        </w:rPr>
        <w:t xml:space="preserve">Excess Delivered Energy </w:t>
      </w:r>
      <w:proofErr w:type="spellStart"/>
      <w:r w:rsidRPr="00C70EE5">
        <w:rPr>
          <w:rFonts w:eastAsia="Times New Roman" w:cs="Times New Roman"/>
          <w:i/>
          <w:iCs/>
          <w:sz w:val="18"/>
          <w:szCs w:val="18"/>
        </w:rPr>
        <w:t>Price</w:t>
      </w:r>
      <w:r w:rsidRPr="00C70EE5">
        <w:rPr>
          <w:rFonts w:eastAsia="Times New Roman" w:cs="Times New Roman"/>
          <w:i/>
          <w:iCs/>
          <w:sz w:val="18"/>
          <w:szCs w:val="18"/>
          <w:vertAlign w:val="subscript"/>
        </w:rPr>
        <w:t>hour</w:t>
      </w:r>
      <w:proofErr w:type="spellEnd"/>
      <w:r w:rsidRPr="00C70EE5">
        <w:rPr>
          <w:rFonts w:eastAsia="Times New Roman" w:cs="Times New Roman"/>
          <w:i/>
          <w:iCs/>
          <w:sz w:val="18"/>
          <w:szCs w:val="18"/>
        </w:rPr>
        <w:t xml:space="preserve"> = the lesser of ([75% </w:t>
      </w:r>
      <w:r w:rsidRPr="00C70EE5">
        <w:rPr>
          <w:rFonts w:eastAsia="Times New Roman" w:cs="Times New Roman"/>
          <w:iCs/>
          <w:sz w:val="18"/>
          <w:szCs w:val="18"/>
        </w:rPr>
        <w:t>×</w:t>
      </w:r>
      <w:r w:rsidRPr="00C70EE5">
        <w:rPr>
          <w:rFonts w:eastAsia="Times New Roman" w:cs="Times New Roman"/>
          <w:i/>
          <w:iCs/>
          <w:sz w:val="18"/>
          <w:szCs w:val="18"/>
        </w:rPr>
        <w:t xml:space="preserve"> Contract Price x TOD Factor] </w:t>
      </w:r>
      <w:r w:rsidRPr="00C70EE5">
        <w:rPr>
          <w:rFonts w:eastAsia="Times New Roman" w:cs="Times New Roman"/>
          <w:b/>
          <w:i/>
          <w:iCs/>
          <w:sz w:val="18"/>
          <w:szCs w:val="18"/>
        </w:rPr>
        <w:t>OR</w:t>
      </w:r>
      <w:r w:rsidRPr="00C70EE5">
        <w:rPr>
          <w:rFonts w:eastAsia="Times New Roman" w:cs="Times New Roman"/>
          <w:i/>
          <w:iCs/>
          <w:sz w:val="18"/>
          <w:szCs w:val="18"/>
        </w:rPr>
        <w:t xml:space="preserve"> </w:t>
      </w:r>
      <w:r w:rsidRPr="00C70EE5">
        <w:rPr>
          <w:rFonts w:eastAsia="Times New Roman" w:cs="Times New Roman"/>
          <w:i/>
          <w:sz w:val="18"/>
          <w:szCs w:val="18"/>
        </w:rPr>
        <w:t xml:space="preserve">DA </w:t>
      </w:r>
      <w:proofErr w:type="spellStart"/>
      <w:r w:rsidRPr="00C70EE5">
        <w:rPr>
          <w:rFonts w:eastAsia="Times New Roman" w:cs="Times New Roman"/>
          <w:i/>
          <w:sz w:val="18"/>
          <w:szCs w:val="18"/>
        </w:rPr>
        <w:t>Price</w:t>
      </w:r>
      <w:r w:rsidRPr="00C70EE5">
        <w:rPr>
          <w:rFonts w:eastAsia="Times New Roman" w:cs="Times New Roman"/>
          <w:i/>
          <w:sz w:val="18"/>
          <w:szCs w:val="18"/>
          <w:vertAlign w:val="subscript"/>
        </w:rPr>
        <w:t>hour</w:t>
      </w:r>
      <w:proofErr w:type="spellEnd"/>
      <w:r w:rsidRPr="00C70EE5">
        <w:rPr>
          <w:rFonts w:eastAsia="Times New Roman" w:cs="Times New Roman"/>
          <w:i/>
          <w:sz w:val="18"/>
          <w:szCs w:val="18"/>
        </w:rPr>
        <w:t>)</w:t>
      </w:r>
    </w:p>
    <w:p w:rsidR="005C1A06" w:rsidRPr="00C70EE5" w:rsidRDefault="005C1A06" w:rsidP="004969C2">
      <w:pPr>
        <w:ind w:left="720"/>
        <w:rPr>
          <w:rFonts w:eastAsia="Times New Roman" w:cs="Times New Roman"/>
          <w:i/>
          <w:sz w:val="18"/>
          <w:szCs w:val="18"/>
        </w:rPr>
      </w:pPr>
      <w:r w:rsidRPr="00C70EE5">
        <w:rPr>
          <w:rFonts w:eastAsia="Times New Roman" w:cs="Times New Roman"/>
          <w:b/>
          <w:sz w:val="18"/>
          <w:szCs w:val="18"/>
        </w:rPr>
        <w:t>OR</w:t>
      </w:r>
      <w:r w:rsidR="004969C2" w:rsidRPr="00C70EE5">
        <w:rPr>
          <w:rFonts w:eastAsia="Times New Roman" w:cs="Times New Roman"/>
          <w:b/>
          <w:sz w:val="18"/>
          <w:szCs w:val="18"/>
        </w:rPr>
        <w:t xml:space="preserve"> as applicable: </w:t>
      </w:r>
      <w:r w:rsidRPr="00C70EE5">
        <w:rPr>
          <w:rFonts w:eastAsia="Times New Roman" w:cs="Times New Roman"/>
          <w:b/>
          <w:sz w:val="18"/>
          <w:szCs w:val="18"/>
        </w:rPr>
        <w:t xml:space="preserve"> </w:t>
      </w:r>
      <w:r w:rsidRPr="00C70EE5">
        <w:rPr>
          <w:rFonts w:eastAsia="Times New Roman" w:cs="Times New Roman"/>
          <w:i/>
          <w:iCs/>
          <w:sz w:val="18"/>
          <w:szCs w:val="18"/>
        </w:rPr>
        <w:t xml:space="preserve">Excess Delivered Energy </w:t>
      </w:r>
      <w:proofErr w:type="spellStart"/>
      <w:r w:rsidRPr="00C70EE5">
        <w:rPr>
          <w:rFonts w:eastAsia="Times New Roman" w:cs="Times New Roman"/>
          <w:i/>
          <w:iCs/>
          <w:sz w:val="18"/>
          <w:szCs w:val="18"/>
        </w:rPr>
        <w:t>Price</w:t>
      </w:r>
      <w:r w:rsidRPr="00C70EE5">
        <w:rPr>
          <w:rFonts w:eastAsia="Times New Roman" w:cs="Times New Roman"/>
          <w:i/>
          <w:iCs/>
          <w:sz w:val="18"/>
          <w:szCs w:val="18"/>
          <w:vertAlign w:val="subscript"/>
        </w:rPr>
        <w:t>hour</w:t>
      </w:r>
      <w:proofErr w:type="spellEnd"/>
      <w:r w:rsidRPr="00C70EE5">
        <w:rPr>
          <w:rFonts w:eastAsia="Times New Roman" w:cs="Times New Roman"/>
          <w:i/>
          <w:iCs/>
          <w:sz w:val="18"/>
          <w:szCs w:val="18"/>
        </w:rPr>
        <w:t xml:space="preserve"> = the lesser of ([75% </w:t>
      </w:r>
      <w:r w:rsidRPr="00C70EE5">
        <w:rPr>
          <w:rFonts w:eastAsia="Times New Roman" w:cs="Times New Roman"/>
          <w:iCs/>
          <w:sz w:val="18"/>
          <w:szCs w:val="18"/>
        </w:rPr>
        <w:t>×</w:t>
      </w:r>
      <w:r w:rsidRPr="00C70EE5">
        <w:rPr>
          <w:rFonts w:eastAsia="Times New Roman" w:cs="Times New Roman"/>
          <w:i/>
          <w:iCs/>
          <w:sz w:val="18"/>
          <w:szCs w:val="18"/>
        </w:rPr>
        <w:t xml:space="preserve"> Unsubscribed Energy Price] </w:t>
      </w:r>
      <w:r w:rsidRPr="00C70EE5">
        <w:rPr>
          <w:rFonts w:eastAsia="Times New Roman" w:cs="Times New Roman"/>
          <w:b/>
          <w:i/>
          <w:iCs/>
          <w:sz w:val="18"/>
          <w:szCs w:val="18"/>
        </w:rPr>
        <w:t>OR</w:t>
      </w:r>
      <w:r w:rsidRPr="00C70EE5">
        <w:rPr>
          <w:rFonts w:eastAsia="Times New Roman" w:cs="Times New Roman"/>
          <w:i/>
          <w:iCs/>
          <w:sz w:val="18"/>
          <w:szCs w:val="18"/>
        </w:rPr>
        <w:t xml:space="preserve"> </w:t>
      </w:r>
      <w:r w:rsidRPr="00C70EE5">
        <w:rPr>
          <w:rFonts w:eastAsia="Times New Roman" w:cs="Times New Roman"/>
          <w:i/>
          <w:sz w:val="18"/>
          <w:szCs w:val="18"/>
        </w:rPr>
        <w:t xml:space="preserve">DA </w:t>
      </w:r>
      <w:proofErr w:type="spellStart"/>
      <w:r w:rsidRPr="00C70EE5">
        <w:rPr>
          <w:rFonts w:eastAsia="Times New Roman" w:cs="Times New Roman"/>
          <w:i/>
          <w:sz w:val="18"/>
          <w:szCs w:val="18"/>
        </w:rPr>
        <w:t>Price</w:t>
      </w:r>
      <w:r w:rsidRPr="00C70EE5">
        <w:rPr>
          <w:rFonts w:eastAsia="Times New Roman" w:cs="Times New Roman"/>
          <w:i/>
          <w:sz w:val="18"/>
          <w:szCs w:val="18"/>
          <w:vertAlign w:val="subscript"/>
        </w:rPr>
        <w:t>hour</w:t>
      </w:r>
      <w:proofErr w:type="spellEnd"/>
      <w:r w:rsidRPr="00C70EE5">
        <w:rPr>
          <w:rFonts w:eastAsia="Times New Roman" w:cs="Times New Roman"/>
          <w:i/>
          <w:sz w:val="18"/>
          <w:szCs w:val="18"/>
        </w:rPr>
        <w:t>)</w:t>
      </w:r>
    </w:p>
    <w:p w:rsidR="004969C2" w:rsidRPr="00C70EE5" w:rsidRDefault="008670FB" w:rsidP="008670FB">
      <w:pPr>
        <w:rPr>
          <w:rFonts w:eastAsia="Times New Roman" w:cs="Times New Roman"/>
          <w:i/>
          <w:sz w:val="18"/>
          <w:szCs w:val="18"/>
        </w:rPr>
      </w:pPr>
      <w:r w:rsidRPr="00C70EE5">
        <w:rPr>
          <w:rFonts w:eastAsia="Times New Roman" w:cs="Times New Roman"/>
          <w:i/>
          <w:iCs/>
          <w:sz w:val="18"/>
          <w:szCs w:val="18"/>
        </w:rPr>
        <w:t xml:space="preserve">Excess Deemed Delivered Energy </w:t>
      </w:r>
      <w:proofErr w:type="spellStart"/>
      <w:r w:rsidRPr="00C70EE5">
        <w:rPr>
          <w:rFonts w:eastAsia="Times New Roman" w:cs="Times New Roman"/>
          <w:i/>
          <w:iCs/>
          <w:sz w:val="18"/>
          <w:szCs w:val="18"/>
        </w:rPr>
        <w:t>Price</w:t>
      </w:r>
      <w:r w:rsidRPr="00C70EE5">
        <w:rPr>
          <w:rFonts w:eastAsia="Times New Roman" w:cs="Times New Roman"/>
          <w:i/>
          <w:iCs/>
          <w:sz w:val="18"/>
          <w:szCs w:val="18"/>
          <w:vertAlign w:val="subscript"/>
        </w:rPr>
        <w:t>hour</w:t>
      </w:r>
      <w:proofErr w:type="spellEnd"/>
      <w:r w:rsidRPr="00C70EE5">
        <w:rPr>
          <w:rFonts w:eastAsia="Times New Roman" w:cs="Times New Roman"/>
          <w:i/>
          <w:iCs/>
          <w:sz w:val="18"/>
          <w:szCs w:val="18"/>
        </w:rPr>
        <w:t xml:space="preserve"> = the </w:t>
      </w:r>
      <w:r w:rsidRPr="00C70EE5">
        <w:rPr>
          <w:rFonts w:eastAsia="Times New Roman" w:cs="Times New Roman"/>
          <w:i/>
          <w:sz w:val="18"/>
          <w:szCs w:val="18"/>
        </w:rPr>
        <w:t xml:space="preserve">lesser of ([75% </w:t>
      </w:r>
      <w:r w:rsidRPr="00C70EE5">
        <w:rPr>
          <w:rFonts w:eastAsia="Times New Roman" w:cs="Times New Roman"/>
          <w:sz w:val="18"/>
          <w:szCs w:val="18"/>
        </w:rPr>
        <w:t>×</w:t>
      </w:r>
      <w:r w:rsidRPr="00C70EE5">
        <w:rPr>
          <w:rFonts w:eastAsia="Times New Roman" w:cs="Times New Roman"/>
          <w:i/>
          <w:sz w:val="18"/>
          <w:szCs w:val="18"/>
        </w:rPr>
        <w:t xml:space="preserve"> Deemed Delivered Energy </w:t>
      </w:r>
      <w:proofErr w:type="spellStart"/>
      <w:r w:rsidRPr="00C70EE5">
        <w:rPr>
          <w:rFonts w:eastAsia="Times New Roman" w:cs="Times New Roman"/>
          <w:i/>
          <w:sz w:val="18"/>
          <w:szCs w:val="18"/>
        </w:rPr>
        <w:t>Price</w:t>
      </w:r>
      <w:r w:rsidRPr="00C70EE5">
        <w:rPr>
          <w:rFonts w:eastAsia="Times New Roman" w:cs="Times New Roman"/>
          <w:i/>
          <w:iCs/>
          <w:sz w:val="18"/>
          <w:szCs w:val="18"/>
          <w:vertAlign w:val="subscript"/>
        </w:rPr>
        <w:t>hour</w:t>
      </w:r>
      <w:proofErr w:type="spellEnd"/>
      <w:r w:rsidRPr="00C70EE5">
        <w:rPr>
          <w:rFonts w:eastAsia="Times New Roman" w:cs="Times New Roman"/>
          <w:i/>
          <w:iCs/>
          <w:sz w:val="18"/>
          <w:szCs w:val="18"/>
        </w:rPr>
        <w:t xml:space="preserve"> </w:t>
      </w:r>
      <w:r w:rsidRPr="00C70EE5">
        <w:rPr>
          <w:rFonts w:eastAsia="Times New Roman" w:cs="Times New Roman"/>
          <w:iCs/>
          <w:sz w:val="18"/>
          <w:szCs w:val="18"/>
        </w:rPr>
        <w:t>×</w:t>
      </w:r>
      <w:r w:rsidRPr="00C70EE5">
        <w:rPr>
          <w:rFonts w:eastAsia="Times New Roman" w:cs="Times New Roman"/>
          <w:i/>
          <w:iCs/>
          <w:sz w:val="18"/>
          <w:szCs w:val="18"/>
        </w:rPr>
        <w:t xml:space="preserve"> TOD Factor] </w:t>
      </w:r>
      <w:r w:rsidRPr="00C70EE5">
        <w:rPr>
          <w:rFonts w:eastAsia="Times New Roman" w:cs="Times New Roman"/>
          <w:b/>
          <w:sz w:val="18"/>
          <w:szCs w:val="18"/>
        </w:rPr>
        <w:t>OR</w:t>
      </w:r>
      <w:r w:rsidRPr="00C70EE5">
        <w:rPr>
          <w:rFonts w:eastAsia="Times New Roman" w:cs="Times New Roman"/>
          <w:sz w:val="18"/>
          <w:szCs w:val="18"/>
        </w:rPr>
        <w:t xml:space="preserve"> </w:t>
      </w:r>
      <w:r w:rsidRPr="00C70EE5">
        <w:rPr>
          <w:rFonts w:eastAsia="Times New Roman" w:cs="Times New Roman"/>
          <w:i/>
          <w:sz w:val="18"/>
          <w:szCs w:val="18"/>
        </w:rPr>
        <w:t xml:space="preserve">DA </w:t>
      </w:r>
      <w:proofErr w:type="spellStart"/>
      <w:proofErr w:type="gramStart"/>
      <w:r w:rsidRPr="00C70EE5">
        <w:rPr>
          <w:rFonts w:eastAsia="Times New Roman" w:cs="Times New Roman"/>
          <w:i/>
          <w:sz w:val="18"/>
          <w:szCs w:val="18"/>
        </w:rPr>
        <w:t>Price</w:t>
      </w:r>
      <w:r w:rsidRPr="00C70EE5">
        <w:rPr>
          <w:rFonts w:eastAsia="Times New Roman" w:cs="Times New Roman"/>
          <w:i/>
          <w:sz w:val="18"/>
          <w:szCs w:val="18"/>
          <w:vertAlign w:val="subscript"/>
        </w:rPr>
        <w:t>hour</w:t>
      </w:r>
      <w:proofErr w:type="spellEnd"/>
      <w:r w:rsidRPr="00C70EE5">
        <w:rPr>
          <w:rFonts w:eastAsia="Times New Roman" w:cs="Times New Roman"/>
          <w:i/>
          <w:sz w:val="18"/>
          <w:szCs w:val="18"/>
        </w:rPr>
        <w:t xml:space="preserve"> )</w:t>
      </w:r>
      <w:proofErr w:type="gramEnd"/>
    </w:p>
    <w:p w:rsidR="008670FB" w:rsidRPr="00C70EE5" w:rsidRDefault="004969C2" w:rsidP="004969C2">
      <w:pPr>
        <w:ind w:left="720"/>
        <w:rPr>
          <w:rFonts w:eastAsia="Times New Roman" w:cs="Times New Roman"/>
          <w:sz w:val="18"/>
          <w:szCs w:val="18"/>
        </w:rPr>
      </w:pPr>
      <w:r w:rsidRPr="00C70EE5">
        <w:rPr>
          <w:rFonts w:eastAsia="Times New Roman" w:cs="Times New Roman"/>
          <w:b/>
          <w:iCs/>
          <w:sz w:val="18"/>
          <w:szCs w:val="18"/>
        </w:rPr>
        <w:t xml:space="preserve">OR as applicable:  </w:t>
      </w:r>
      <w:r w:rsidRPr="00C70EE5">
        <w:rPr>
          <w:rFonts w:eastAsia="Times New Roman" w:cs="Times New Roman"/>
          <w:i/>
          <w:iCs/>
          <w:sz w:val="18"/>
          <w:szCs w:val="18"/>
        </w:rPr>
        <w:t xml:space="preserve">Excess Deemed Delivered Energy </w:t>
      </w:r>
      <w:proofErr w:type="spellStart"/>
      <w:r w:rsidRPr="00C70EE5">
        <w:rPr>
          <w:rFonts w:eastAsia="Times New Roman" w:cs="Times New Roman"/>
          <w:i/>
          <w:iCs/>
          <w:sz w:val="18"/>
          <w:szCs w:val="18"/>
        </w:rPr>
        <w:t>Price</w:t>
      </w:r>
      <w:r w:rsidRPr="00C70EE5">
        <w:rPr>
          <w:rFonts w:eastAsia="Times New Roman" w:cs="Times New Roman"/>
          <w:i/>
          <w:iCs/>
          <w:sz w:val="18"/>
          <w:szCs w:val="18"/>
          <w:vertAlign w:val="subscript"/>
        </w:rPr>
        <w:t>hour</w:t>
      </w:r>
      <w:proofErr w:type="spellEnd"/>
      <w:r w:rsidRPr="00C70EE5">
        <w:rPr>
          <w:rFonts w:eastAsia="Times New Roman" w:cs="Times New Roman"/>
          <w:i/>
          <w:iCs/>
          <w:sz w:val="18"/>
          <w:szCs w:val="18"/>
        </w:rPr>
        <w:t xml:space="preserve"> = the </w:t>
      </w:r>
      <w:r w:rsidRPr="00C70EE5">
        <w:rPr>
          <w:rFonts w:eastAsia="Times New Roman" w:cs="Times New Roman"/>
          <w:i/>
          <w:sz w:val="18"/>
          <w:szCs w:val="18"/>
        </w:rPr>
        <w:t xml:space="preserve">lesser of ([75% </w:t>
      </w:r>
      <w:r w:rsidRPr="00C70EE5">
        <w:rPr>
          <w:rFonts w:eastAsia="Times New Roman" w:cs="Times New Roman"/>
          <w:sz w:val="18"/>
          <w:szCs w:val="18"/>
        </w:rPr>
        <w:t>×</w:t>
      </w:r>
      <w:r w:rsidRPr="00C70EE5">
        <w:rPr>
          <w:rFonts w:eastAsia="Times New Roman" w:cs="Times New Roman"/>
          <w:i/>
          <w:sz w:val="18"/>
          <w:szCs w:val="18"/>
        </w:rPr>
        <w:t xml:space="preserve"> </w:t>
      </w:r>
      <w:r w:rsidRPr="00C70EE5">
        <w:rPr>
          <w:rFonts w:eastAsia="Times New Roman" w:cs="Times New Roman"/>
          <w:i/>
          <w:iCs/>
          <w:sz w:val="18"/>
          <w:szCs w:val="18"/>
        </w:rPr>
        <w:t xml:space="preserve">Unsubscribed Energy Price] </w:t>
      </w:r>
      <w:r w:rsidRPr="00C70EE5">
        <w:rPr>
          <w:rFonts w:eastAsia="Times New Roman" w:cs="Times New Roman"/>
          <w:b/>
          <w:sz w:val="18"/>
          <w:szCs w:val="18"/>
        </w:rPr>
        <w:t>OR</w:t>
      </w:r>
      <w:r w:rsidRPr="00C70EE5">
        <w:rPr>
          <w:rFonts w:eastAsia="Times New Roman" w:cs="Times New Roman"/>
          <w:sz w:val="18"/>
          <w:szCs w:val="18"/>
        </w:rPr>
        <w:t xml:space="preserve"> </w:t>
      </w:r>
      <w:r w:rsidRPr="00C70EE5">
        <w:rPr>
          <w:rFonts w:eastAsia="Times New Roman" w:cs="Times New Roman"/>
          <w:i/>
          <w:sz w:val="18"/>
          <w:szCs w:val="18"/>
        </w:rPr>
        <w:t xml:space="preserve">DA </w:t>
      </w:r>
      <w:proofErr w:type="spellStart"/>
      <w:proofErr w:type="gramStart"/>
      <w:r w:rsidRPr="00C70EE5">
        <w:rPr>
          <w:rFonts w:eastAsia="Times New Roman" w:cs="Times New Roman"/>
          <w:i/>
          <w:sz w:val="18"/>
          <w:szCs w:val="18"/>
        </w:rPr>
        <w:t>Price</w:t>
      </w:r>
      <w:r w:rsidRPr="00C70EE5">
        <w:rPr>
          <w:rFonts w:eastAsia="Times New Roman" w:cs="Times New Roman"/>
          <w:i/>
          <w:sz w:val="18"/>
          <w:szCs w:val="18"/>
          <w:vertAlign w:val="subscript"/>
        </w:rPr>
        <w:t>hour</w:t>
      </w:r>
      <w:proofErr w:type="spellEnd"/>
      <w:r w:rsidRPr="00C70EE5">
        <w:rPr>
          <w:rFonts w:eastAsia="Times New Roman" w:cs="Times New Roman"/>
          <w:i/>
          <w:sz w:val="18"/>
          <w:szCs w:val="18"/>
        </w:rPr>
        <w:t xml:space="preserve"> )</w:t>
      </w:r>
      <w:proofErr w:type="gramEnd"/>
      <w:r w:rsidR="001B575D">
        <w:rPr>
          <w:rFonts w:eastAsia="Times New Roman" w:cs="Times New Roman"/>
          <w:i/>
          <w:sz w:val="18"/>
          <w:szCs w:val="18"/>
        </w:rPr>
        <w:t xml:space="preserve"> </w:t>
      </w:r>
      <w:r w:rsidR="008670FB" w:rsidRPr="00C70EE5">
        <w:rPr>
          <w:rFonts w:eastAsia="Times New Roman" w:cs="Times New Roman"/>
          <w:b/>
          <w:sz w:val="18"/>
          <w:szCs w:val="18"/>
        </w:rPr>
        <w:t>”</w:t>
      </w:r>
    </w:p>
    <w:p w:rsidR="00440B95" w:rsidRDefault="00DB1696" w:rsidP="00FB74EA">
      <w:pPr>
        <w:pStyle w:val="RAMRiderpara1"/>
      </w:pPr>
      <w:r>
        <w:rPr>
          <w:b/>
        </w:rPr>
        <w:t>19</w:t>
      </w:r>
      <w:r w:rsidR="00FB74EA" w:rsidRPr="00FB74EA">
        <w:rPr>
          <w:b/>
        </w:rPr>
        <w:t>.</w:t>
      </w:r>
      <w:r w:rsidR="002C2D84">
        <w:tab/>
        <w:t xml:space="preserve">Article Six, </w:t>
      </w:r>
      <w:r w:rsidR="002C2D84" w:rsidRPr="00B44019">
        <w:rPr>
          <w:u w:val="single"/>
        </w:rPr>
        <w:t>Payment</w:t>
      </w:r>
      <w:r w:rsidR="002C2D84">
        <w:t xml:space="preserve"> is deleted in its entirety and replaced with the new Article Six attached hereto as </w:t>
      </w:r>
      <w:r w:rsidR="002C2D84" w:rsidRPr="002C2D84">
        <w:rPr>
          <w:u w:val="single"/>
        </w:rPr>
        <w:t xml:space="preserve">Attachment </w:t>
      </w:r>
      <w:r w:rsidR="008D750B">
        <w:rPr>
          <w:u w:val="single"/>
        </w:rPr>
        <w:t>2</w:t>
      </w:r>
      <w:r w:rsidR="002C2D84">
        <w:t xml:space="preserve"> to this</w:t>
      </w:r>
      <w:r w:rsidR="00BD4DAC">
        <w:t xml:space="preserve"> </w:t>
      </w:r>
      <w:r w:rsidR="00795CA7">
        <w:t>RRC</w:t>
      </w:r>
      <w:r w:rsidR="002C2D84">
        <w:t xml:space="preserve"> Rider and Amendment.</w:t>
      </w:r>
    </w:p>
    <w:p w:rsidR="002C2D84" w:rsidRDefault="004A438F" w:rsidP="00FB74EA">
      <w:pPr>
        <w:pStyle w:val="RAMRiderpara1"/>
      </w:pPr>
      <w:r>
        <w:rPr>
          <w:b/>
        </w:rPr>
        <w:t>2</w:t>
      </w:r>
      <w:r w:rsidR="00DB1696">
        <w:rPr>
          <w:b/>
        </w:rPr>
        <w:t>0</w:t>
      </w:r>
      <w:r w:rsidR="00FB74EA" w:rsidRPr="00FB74EA">
        <w:rPr>
          <w:b/>
        </w:rPr>
        <w:t>.</w:t>
      </w:r>
      <w:r w:rsidR="002C2D84">
        <w:tab/>
      </w:r>
      <w:r w:rsidR="0032180F">
        <w:t>Section</w:t>
      </w:r>
      <w:r w:rsidR="009379DB">
        <w:t>s</w:t>
      </w:r>
      <w:r w:rsidR="0032180F">
        <w:t xml:space="preserve"> </w:t>
      </w:r>
      <w:r w:rsidR="009379DB">
        <w:t xml:space="preserve">8.4(a)(ii) and </w:t>
      </w:r>
      <w:r w:rsidR="0032180F">
        <w:t xml:space="preserve">8.4(a)(iii) are deleted in their entirety and replaced with the following: </w:t>
      </w:r>
    </w:p>
    <w:p w:rsidR="009379DB" w:rsidRDefault="009379DB" w:rsidP="00227ED2">
      <w:pPr>
        <w:pStyle w:val="RAMRiderpara1"/>
        <w:ind w:left="720" w:firstLine="720"/>
      </w:pPr>
      <w:r>
        <w:t>“</w:t>
      </w:r>
      <w:r w:rsidRPr="009379DB">
        <w:t>(ii)</w:t>
      </w:r>
      <w:r w:rsidRPr="009379DB">
        <w:tab/>
        <w:t xml:space="preserve">Delivery Term Security for </w:t>
      </w:r>
      <w:r w:rsidR="00795CA7">
        <w:t>RRC</w:t>
      </w:r>
      <w:r w:rsidR="00795CA7" w:rsidRPr="009379DB">
        <w:t xml:space="preserve"> </w:t>
      </w:r>
      <w:r w:rsidRPr="009379DB">
        <w:t xml:space="preserve">Projects with Contract Capacity over </w:t>
      </w:r>
      <w:r>
        <w:t xml:space="preserve">three </w:t>
      </w:r>
      <w:r w:rsidRPr="009379DB">
        <w:t>(3) MW pursuant to this Section 8.4(a)(ii) in the amount $120/kW for As-Available resources or $180/kW for Baseload resources multiplied by the capacity of the Project as reflected in Section B of the Cover Sheet from the date required pursuant to Section 3.1(c)(i) as a condition precedent to the Initial Energy Delivery Date until the end of the Term; provided that, with Buyer’s consent, Seller may elect to apply the Project Development Security posted pursuant to Section 8.4(a)(i) toward the Delivery Term Security posted pursuant to this Section 8.4(a)(ii).</w:t>
      </w:r>
    </w:p>
    <w:p w:rsidR="0032180F" w:rsidRPr="0032180F" w:rsidRDefault="0032180F" w:rsidP="0032180F">
      <w:pPr>
        <w:pStyle w:val="RAMRiderpara11"/>
        <w:ind w:left="720" w:firstLine="1440"/>
        <w:rPr>
          <w:b/>
          <w:i/>
        </w:rPr>
      </w:pPr>
      <w:r w:rsidRPr="0032180F">
        <w:rPr>
          <w:b/>
          <w:i/>
        </w:rPr>
        <w:lastRenderedPageBreak/>
        <w:t xml:space="preserve">[For purposes of Section 8.4(a), </w:t>
      </w:r>
      <w:r w:rsidR="006573F8">
        <w:rPr>
          <w:b/>
          <w:i/>
        </w:rPr>
        <w:t>RR</w:t>
      </w:r>
      <w:r w:rsidR="00795CA7">
        <w:rPr>
          <w:b/>
          <w:i/>
        </w:rPr>
        <w:t>C</w:t>
      </w:r>
      <w:r w:rsidR="00795CA7" w:rsidRPr="0032180F">
        <w:rPr>
          <w:b/>
          <w:i/>
        </w:rPr>
        <w:t xml:space="preserve"> </w:t>
      </w:r>
      <w:r w:rsidRPr="0032180F">
        <w:rPr>
          <w:b/>
          <w:i/>
        </w:rPr>
        <w:t>Projects 3 MWs or less only need to comply with the following bracketed language.]</w:t>
      </w:r>
    </w:p>
    <w:p w:rsidR="00C1719F" w:rsidRPr="00C37502" w:rsidRDefault="0032180F">
      <w:pPr>
        <w:ind w:left="720" w:firstLine="720"/>
      </w:pPr>
      <w:r w:rsidRPr="0032180F">
        <w:rPr>
          <w:b/>
          <w:i/>
        </w:rPr>
        <w:t>[</w:t>
      </w:r>
      <w:r>
        <w:t>(iii)</w:t>
      </w:r>
      <w:r>
        <w:tab/>
        <w:t xml:space="preserve">Term Security pursuant to this Section 8.4(a)(iii) in the amount of $20/kW for </w:t>
      </w:r>
      <w:r w:rsidR="00795CA7">
        <w:t>RRC</w:t>
      </w:r>
      <w:r w:rsidR="00795CA7" w:rsidRPr="0032180F">
        <w:t xml:space="preserve"> </w:t>
      </w:r>
      <w:r>
        <w:t>Projects with Contract Capacity of three (3) MW and under multiplied by the capacity of the Project as reflected in Section B of the Cover Sheet, within thirty (30) days following the Effective Date of this Agreement until the end of the Term.</w:t>
      </w:r>
      <w:r w:rsidRPr="0032180F">
        <w:rPr>
          <w:b/>
          <w:i/>
        </w:rPr>
        <w:t>]</w:t>
      </w:r>
      <w:r w:rsidRPr="0032180F">
        <w:t>”</w:t>
      </w:r>
      <w:r w:rsidR="00C1719F" w:rsidRPr="00C1719F">
        <w:t xml:space="preserve"> </w:t>
      </w:r>
    </w:p>
    <w:p w:rsidR="00C85BBF" w:rsidRDefault="005A5951" w:rsidP="00FB74EA">
      <w:pPr>
        <w:pStyle w:val="RAMRiderpara1"/>
      </w:pPr>
      <w:r>
        <w:rPr>
          <w:b/>
        </w:rPr>
        <w:t>2</w:t>
      </w:r>
      <w:r w:rsidR="00DB1696">
        <w:rPr>
          <w:b/>
        </w:rPr>
        <w:t>1</w:t>
      </w:r>
      <w:r w:rsidR="00FB74EA" w:rsidRPr="00FB74EA">
        <w:rPr>
          <w:b/>
        </w:rPr>
        <w:t>.</w:t>
      </w:r>
      <w:r w:rsidR="0032180F">
        <w:tab/>
        <w:t>Section 8.4(c):  the bracketed direction at the end of Section 8.4(c) is deleted in its entirety and replaced with: “</w:t>
      </w:r>
      <w:r w:rsidR="0032180F" w:rsidRPr="0032180F">
        <w:rPr>
          <w:b/>
          <w:i/>
        </w:rPr>
        <w:t xml:space="preserve">[Section 8.4(c) does not apply to </w:t>
      </w:r>
      <w:r w:rsidR="00795CA7">
        <w:rPr>
          <w:b/>
          <w:i/>
        </w:rPr>
        <w:t>RRC</w:t>
      </w:r>
      <w:r w:rsidR="00795CA7" w:rsidRPr="0032180F">
        <w:rPr>
          <w:b/>
          <w:i/>
        </w:rPr>
        <w:t xml:space="preserve"> </w:t>
      </w:r>
      <w:r w:rsidR="0032180F" w:rsidRPr="0032180F">
        <w:rPr>
          <w:b/>
          <w:i/>
        </w:rPr>
        <w:t>Projects 3 MWs or less.]</w:t>
      </w:r>
      <w:r w:rsidR="0032180F">
        <w:t>”</w:t>
      </w:r>
    </w:p>
    <w:p w:rsidR="00C85BBF" w:rsidRDefault="00FB74EA" w:rsidP="00FB74EA">
      <w:pPr>
        <w:pStyle w:val="RAMRiderpara1"/>
      </w:pPr>
      <w:r w:rsidRPr="00FB74EA">
        <w:rPr>
          <w:b/>
        </w:rPr>
        <w:t>2</w:t>
      </w:r>
      <w:r w:rsidR="00DB1696">
        <w:rPr>
          <w:b/>
        </w:rPr>
        <w:t>2</w:t>
      </w:r>
      <w:r w:rsidRPr="00FB74EA">
        <w:rPr>
          <w:b/>
        </w:rPr>
        <w:t>.</w:t>
      </w:r>
      <w:r w:rsidR="00E16E24">
        <w:tab/>
        <w:t xml:space="preserve">Section 10.2(b) </w:t>
      </w:r>
      <w:r w:rsidR="00E16E24" w:rsidRPr="00E16E24">
        <w:rPr>
          <w:u w:val="single"/>
        </w:rPr>
        <w:t>Seller Representations and Warranties</w:t>
      </w:r>
      <w:r w:rsidR="00E16E24">
        <w:t xml:space="preserve"> shall be deleted in its entirety and replaced with the following:</w:t>
      </w:r>
    </w:p>
    <w:p w:rsidR="00C1719F" w:rsidRPr="00C37502" w:rsidRDefault="00E16E24" w:rsidP="00C1719F">
      <w:pPr>
        <w:ind w:left="720" w:firstLine="720"/>
      </w:pPr>
      <w:r>
        <w:t>“(b)</w:t>
      </w:r>
      <w:r>
        <w:tab/>
      </w:r>
      <w:r w:rsidRPr="00E16E24">
        <w:rPr>
          <w:u w:val="single"/>
        </w:rPr>
        <w:t>Seller Representations and Warranties</w:t>
      </w:r>
      <w:r>
        <w:t xml:space="preserve">.  In addition to the representations, warranties and covenants specified in Section 10.2(a), Seller makes the following additional representations and warranties as of the Execution Date: </w:t>
      </w:r>
    </w:p>
    <w:p w:rsidR="008D750B" w:rsidRPr="005402ED" w:rsidRDefault="00E16E24" w:rsidP="008D750B">
      <w:pPr>
        <w:ind w:left="720" w:firstLine="1440"/>
      </w:pPr>
      <w:r>
        <w:t>(i)</w:t>
      </w:r>
      <w:r>
        <w:tab/>
        <w:t>Seller, and, if applicable, its successors, represents and warrants that throughout the Delivery Term of this Agreement that</w:t>
      </w:r>
      <w:proofErr w:type="gramStart"/>
      <w:r>
        <w:t>:  (</w:t>
      </w:r>
      <w:proofErr w:type="gramEnd"/>
      <w:r>
        <w:t>i) the Project qualifies and is certified by the CEC as an Eligible Renewable Energy Resource (“ERR”) as such term is defined in Public Utilities Code Section 399.12 or Section 399.16; and (ii) 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008D750B" w:rsidRPr="008D750B">
        <w:t xml:space="preserve"> </w:t>
      </w:r>
    </w:p>
    <w:p w:rsidR="008D750B" w:rsidRPr="005402ED" w:rsidRDefault="00E16E24" w:rsidP="008D750B">
      <w:pPr>
        <w:ind w:left="720" w:firstLine="1440"/>
      </w:pPr>
      <w:r>
        <w:t>(ii)</w:t>
      </w:r>
      <w:r>
        <w:tab/>
        <w:t>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r w:rsidR="008D750B" w:rsidRPr="008D750B">
        <w:t xml:space="preserve"> </w:t>
      </w:r>
    </w:p>
    <w:p w:rsidR="008D750B" w:rsidRPr="005402ED" w:rsidRDefault="00E16E24" w:rsidP="008D750B">
      <w:pPr>
        <w:ind w:left="720" w:firstLine="1440"/>
      </w:pPr>
      <w:r>
        <w:t>(iii)</w:t>
      </w:r>
      <w:r>
        <w:tab/>
        <w:t>The last sentences in Sections 10.2(b)(i) and 10.2(b)(ii) shall not be applicable to Seller’s representations, warranties and covenants in the remaining portions of Sections 10.2(b)(i) and 10.2(b)(ii).  If Seller breaches or fails to perform its representations, warranties and covenants under Sections 10.2(b)(i) and 10.2(b)(ii), such breach or failure to perform and satisfy the obligations under such sections shall be considered an Event of Default by Seller.</w:t>
      </w:r>
      <w:r w:rsidR="008D750B" w:rsidRPr="008D750B">
        <w:t xml:space="preserve"> </w:t>
      </w:r>
    </w:p>
    <w:p w:rsidR="008D750B" w:rsidRPr="005402ED" w:rsidRDefault="00E16E24" w:rsidP="008D750B">
      <w:pPr>
        <w:ind w:left="720" w:firstLine="1440"/>
      </w:pPr>
      <w:r>
        <w:t>(iv)</w:t>
      </w:r>
      <w:r>
        <w:tab/>
        <w:t>Seller has not entered into any other agreement with any party for the sale of Product produced by the Project, other than Customers in accordance with the CSA and with E-ECR Tariff;</w:t>
      </w:r>
      <w:r w:rsidR="008D750B" w:rsidRPr="008D750B">
        <w:t xml:space="preserve"> </w:t>
      </w:r>
    </w:p>
    <w:p w:rsidR="008D750B" w:rsidRPr="005402ED" w:rsidRDefault="00E16E24" w:rsidP="008D750B">
      <w:pPr>
        <w:ind w:left="720" w:firstLine="1440"/>
      </w:pPr>
      <w:r>
        <w:t>(v)</w:t>
      </w:r>
      <w:r>
        <w:tab/>
        <w:t xml:space="preserve">Prior to the Execution Date and during the Term, (A) Seller has not and will not enter into CSAs for Subscribed Capacity exceeding, in the aggregate, one hundred percent (100%) of the Contract Capacity; and (B) Seller has not and will not enter into a CSA </w:t>
      </w:r>
      <w:r w:rsidR="009379DB">
        <w:t>for</w:t>
      </w:r>
      <w:r>
        <w:t xml:space="preserve"> </w:t>
      </w:r>
      <w:r>
        <w:lastRenderedPageBreak/>
        <w:t>any individual Subscription exceeding 2 MW (except in the case of federal, state or local governments, schools or school districts, county offices of education, any of the California Community Colleges, the California State University or the University of California);</w:t>
      </w:r>
      <w:r w:rsidR="008D750B" w:rsidRPr="008D750B">
        <w:t xml:space="preserve"> </w:t>
      </w:r>
    </w:p>
    <w:p w:rsidR="008D750B" w:rsidRPr="005402ED" w:rsidRDefault="00E16E24" w:rsidP="008D750B">
      <w:pPr>
        <w:ind w:left="720" w:firstLine="1440"/>
      </w:pPr>
      <w:r>
        <w:t>(vi)</w:t>
      </w:r>
      <w:r>
        <w:tab/>
        <w:t xml:space="preserve">Seller, and, if applicable, its successors, represents, warrants and covenants that throughout the Delivery Term: (A) the Delivered Energy qualifies under </w:t>
      </w:r>
      <w:proofErr w:type="spellStart"/>
      <w:r>
        <w:t>Green-e®Energy</w:t>
      </w:r>
      <w:proofErr w:type="spellEnd"/>
      <w:r>
        <w:t xml:space="preserve"> Certification; (B) Seller shall comply with the Green-e® Energy Certification requirements and best practices as updated from time to time by CRS; (C) Seller shall provide all forms, disclosures and other documentation required by Buyer and its auditors in connection with the annual Green-e® Energy Certification verification and audit; (D) Seller shall provide to Buyer a copy of all annual Disclosure Documents that it provides to Customers; and (E) Seller shall provide Buyer with a completed “Green-e® Energy Attestation From Generator Participating In A Tracking System” (or successor form available on CRS’s website) promptly when required by Buyer, and (F) Seller shall provide Buyer with Green-e® Energy Host attestations as they are requested;</w:t>
      </w:r>
      <w:r w:rsidR="008D750B" w:rsidRPr="008D750B">
        <w:t xml:space="preserve"> </w:t>
      </w:r>
    </w:p>
    <w:p w:rsidR="008D750B" w:rsidRPr="005402ED" w:rsidRDefault="00E16E24" w:rsidP="008D750B">
      <w:pPr>
        <w:ind w:left="720" w:firstLine="1440"/>
      </w:pPr>
      <w:r>
        <w:t>(vii)</w:t>
      </w:r>
      <w:r>
        <w:tab/>
        <w:t xml:space="preserve">Seller, and, if applicable, its successors, represents, warrants and covenants that throughout the Delivery Term: </w:t>
      </w:r>
      <w:proofErr w:type="gramStart"/>
      <w:r>
        <w:t>the</w:t>
      </w:r>
      <w:proofErr w:type="gramEnd"/>
      <w:r>
        <w:t xml:space="preserve"> Subscription Information and Bill Credit Instructions required under Section 3.10 shall be accurate and complete.  If Seller becomes aware of incorrect information contained in any current or previously submitted Subscription Information and Bill Credit Instructions, Seller shall provide Buyer with updated Subscription Information and Bill Credit Instructions.  Buyer shall not be liable for any action it takes or fails to take based on incorrect information contained in inaccurate or incomplete Subscription Information and Bill Credit Instructions;</w:t>
      </w:r>
      <w:r w:rsidR="008D750B" w:rsidRPr="008D750B">
        <w:t xml:space="preserve"> </w:t>
      </w:r>
    </w:p>
    <w:p w:rsidR="008D750B" w:rsidRPr="005402ED" w:rsidRDefault="00E16E24" w:rsidP="008D750B">
      <w:pPr>
        <w:ind w:left="720" w:firstLine="1440"/>
      </w:pPr>
      <w:r>
        <w:t>(viii)</w:t>
      </w:r>
      <w:r>
        <w:tab/>
        <w:t xml:space="preserve">Seller, and, if applicable, its successors, represents,  warrants and covenants that prior to the Execution Date and throughout the Term: (A) Seller has complied with and shall continue to comply with the Marketing Plan requirements of the ECR Program, E-ECR Tariff and Green-e® Energy Certification, (B) all marketing by Seller shall be accurate and in compliance with the Federal Trade Commission Green Guides, (C) any changes to the Marketing Plan shall be submitted to Buyer for review prior to Seller’s use of such materials, (D) Seller shall maintain an internet website dedicated to the Project containing disclosures about the Project required by </w:t>
      </w:r>
      <w:proofErr w:type="spellStart"/>
      <w:r>
        <w:t>Green-e®Energy</w:t>
      </w:r>
      <w:proofErr w:type="spellEnd"/>
      <w:r>
        <w:t xml:space="preserve">, including a link to Buyer’s E-ECR Tariff webpage, a link to the Green-e® Energy website, and customer service contact information; and (E) Seller has received from Buyer and has read Attachment 1 of the CPUC’s CCA Code of Conduct decision (D.12-12-036) and has not and will not circumvent it; </w:t>
      </w:r>
    </w:p>
    <w:p w:rsidR="008D750B" w:rsidRPr="005402ED" w:rsidRDefault="00E16E24" w:rsidP="008D750B">
      <w:pPr>
        <w:ind w:left="720" w:firstLine="1440"/>
      </w:pPr>
      <w:r>
        <w:t>(ix)</w:t>
      </w:r>
      <w:r>
        <w:tab/>
        <w:t xml:space="preserve">Seller has and shall continue to incorporate in each CSA it </w:t>
      </w:r>
      <w:proofErr w:type="gramStart"/>
      <w:r>
        <w:t>enters into</w:t>
      </w:r>
      <w:proofErr w:type="gramEnd"/>
      <w:r>
        <w:t xml:space="preserve"> with Customers the provisions required to be included in the CSA as identified in Sections 3.1(r) and 3.1(s); </w:t>
      </w:r>
    </w:p>
    <w:p w:rsidR="008D750B" w:rsidRPr="005402ED" w:rsidRDefault="00E16E24" w:rsidP="008D750B">
      <w:pPr>
        <w:ind w:left="720" w:firstLine="1440"/>
      </w:pPr>
      <w:r>
        <w:t>(x)</w:t>
      </w:r>
      <w:r>
        <w:tab/>
        <w:t>Seller shall not use Buyer’s corporate name, trademark, trade name, logo, identity or any affiliation for any reason, without Buyer’s prior written consent;</w:t>
      </w:r>
      <w:r w:rsidR="008D750B" w:rsidRPr="008D750B">
        <w:t xml:space="preserve"> </w:t>
      </w:r>
    </w:p>
    <w:p w:rsidR="008D750B" w:rsidRPr="005402ED" w:rsidRDefault="00E16E24" w:rsidP="008D750B">
      <w:pPr>
        <w:ind w:left="720" w:firstLine="1440"/>
      </w:pPr>
      <w:r>
        <w:t>(xi)</w:t>
      </w:r>
      <w:r>
        <w:tab/>
        <w:t xml:space="preserve">Seller acknowledges that the Subscriptions it sells may be considered securities under federal or California law and, accordingly, has retained its own legal counsel to provide advice on securities law matters; and </w:t>
      </w:r>
    </w:p>
    <w:p w:rsidR="008D750B" w:rsidRPr="005402ED" w:rsidRDefault="00E16E24" w:rsidP="008D750B">
      <w:pPr>
        <w:ind w:left="720" w:firstLine="1440"/>
      </w:pPr>
      <w:r>
        <w:t>(xii)</w:t>
      </w:r>
      <w:r>
        <w:tab/>
        <w:t xml:space="preserve">The Project shall comply with the requirements of the California Air Resources Board’s Voluntary Renewable Electricity Program and Seller shall provide Buyer with </w:t>
      </w:r>
      <w:r>
        <w:lastRenderedPageBreak/>
        <w:t>all documents necessary to enable Buyer to retire greenhouse gas allowances on behalf of Customers in compliance with the Voluntary Renewable Electricity Program.”</w:t>
      </w:r>
      <w:r w:rsidR="008D750B" w:rsidRPr="008D750B">
        <w:t xml:space="preserve"> </w:t>
      </w:r>
    </w:p>
    <w:p w:rsidR="00E16E24" w:rsidRDefault="00FB74EA" w:rsidP="00937C31">
      <w:pPr>
        <w:pStyle w:val="RAMRiderpara1"/>
        <w:keepNext/>
      </w:pPr>
      <w:r w:rsidRPr="00FB74EA">
        <w:rPr>
          <w:b/>
        </w:rPr>
        <w:t>2</w:t>
      </w:r>
      <w:r w:rsidR="00DB1696">
        <w:rPr>
          <w:b/>
        </w:rPr>
        <w:t>3</w:t>
      </w:r>
      <w:r w:rsidRPr="00FB74EA">
        <w:rPr>
          <w:b/>
        </w:rPr>
        <w:t>.</w:t>
      </w:r>
      <w:r w:rsidR="00E16E24">
        <w:tab/>
        <w:t xml:space="preserve">Section 10.5(a) </w:t>
      </w:r>
      <w:r w:rsidR="00E16E24" w:rsidRPr="00E16E24">
        <w:rPr>
          <w:u w:val="single"/>
        </w:rPr>
        <w:t>Indemnity by Seller</w:t>
      </w:r>
      <w:r w:rsidR="00E16E24">
        <w:t xml:space="preserve"> is deleted it its entirety and replaced with the following:</w:t>
      </w:r>
    </w:p>
    <w:p w:rsidR="00C1719F" w:rsidRPr="00C37502" w:rsidRDefault="003E2490" w:rsidP="00C1719F">
      <w:pPr>
        <w:ind w:left="720" w:firstLine="720"/>
      </w:pPr>
      <w:r>
        <w:t>“</w:t>
      </w:r>
      <w:r w:rsidR="00E16E24">
        <w:t>(a)</w:t>
      </w:r>
      <w:r w:rsidR="00E16E24">
        <w:tab/>
      </w:r>
      <w:r w:rsidR="00E16E24" w:rsidRPr="00E16E24">
        <w:rPr>
          <w:u w:val="single"/>
        </w:rPr>
        <w:t>Indemnity by Seller</w:t>
      </w:r>
      <w:r w:rsidR="00C1719F">
        <w:t>.</w:t>
      </w:r>
      <w:r w:rsidR="00C1719F" w:rsidRPr="00C1719F">
        <w:t xml:space="preserve"> </w:t>
      </w:r>
    </w:p>
    <w:p w:rsidR="008D750B" w:rsidRPr="005402ED" w:rsidRDefault="00E16E24" w:rsidP="008D750B">
      <w:pPr>
        <w:ind w:left="720" w:firstLine="1440"/>
      </w:pPr>
      <w:r>
        <w:t>(i)</w:t>
      </w:r>
      <w:r>
        <w:tab/>
        <w:t>Seller shall release, indemnify and hold harmless Buyer or Buyers’ respective directors, officers, agents, and representatives against and from any and all loss, Claims, actions or suits, including costs and attorney’s fees resulting from, or arising out of or in any way connected with (A) the Product delivered under this Agreement to the Delivery Point, or (B) Seller’s operation and/or maintenance of the Project, including any loss, Claim, action or suit, for or on account of injury to, bodily or otherwise, or death of persons, or for damage to or destruction of property belonging to Buyer, Seller, or others, excepting only such loss, Claim, action or suit as may be caused solely by the willful misconduct or gross negligence of Buyer, its Affiliates, or Buyers’ and Affiliates’ respective agents, employees, directors, or officers.</w:t>
      </w:r>
      <w:r w:rsidR="008D750B" w:rsidRPr="008D750B">
        <w:t xml:space="preserve"> </w:t>
      </w:r>
    </w:p>
    <w:p w:rsidR="008D750B" w:rsidRPr="005402ED" w:rsidRDefault="00E16E24" w:rsidP="008D750B">
      <w:pPr>
        <w:ind w:left="720" w:firstLine="1440"/>
      </w:pPr>
      <w:r>
        <w:t>(ii)</w:t>
      </w:r>
      <w:r>
        <w:tab/>
        <w:t>Seller shall defend, hold harmless and indemnify Buyer and its parent company, subsidiaries, affiliates, and its and their directors, officers, employees, shareholders, successors, and assigns  from any and all damages, losses, or liability (including reasonable attorney’s fees) for any and all claims or causes of action arising from or in connection with Seller’s Subscription Information and Bill Credit Instructions, subscriptions, bill credits, disputes, violations of Law, misrepresentations made by Seller or Seller’s contractors, agents, or representatives, claims relating to securities laws, or Green-e© Energy Certification, or loss thereof.</w:t>
      </w:r>
      <w:r w:rsidR="003E2490">
        <w:t>”</w:t>
      </w:r>
      <w:r w:rsidR="008D750B" w:rsidRPr="008D750B">
        <w:t xml:space="preserve"> </w:t>
      </w:r>
    </w:p>
    <w:p w:rsidR="00E16E24" w:rsidRDefault="00FB74EA" w:rsidP="00FB74EA">
      <w:pPr>
        <w:pStyle w:val="RAMRiderpara1"/>
      </w:pPr>
      <w:r w:rsidRPr="00FB74EA">
        <w:rPr>
          <w:b/>
        </w:rPr>
        <w:t>2</w:t>
      </w:r>
      <w:r w:rsidR="00DB1696">
        <w:rPr>
          <w:b/>
        </w:rPr>
        <w:t>4</w:t>
      </w:r>
      <w:r w:rsidRPr="00FB74EA">
        <w:rPr>
          <w:b/>
        </w:rPr>
        <w:t>.</w:t>
      </w:r>
      <w:r w:rsidR="003E2490">
        <w:tab/>
        <w:t xml:space="preserve">Section 10.6(a) </w:t>
      </w:r>
      <w:r w:rsidR="003E2490" w:rsidRPr="003E2490">
        <w:rPr>
          <w:u w:val="single"/>
        </w:rPr>
        <w:t>General Assignment</w:t>
      </w:r>
      <w:r w:rsidR="003E2490">
        <w:t xml:space="preserve"> shall be deleted in its entirety and replaced with the following:</w:t>
      </w:r>
    </w:p>
    <w:p w:rsidR="00C1719F" w:rsidRPr="00C37502" w:rsidRDefault="003E2490" w:rsidP="00C1719F">
      <w:pPr>
        <w:ind w:left="720" w:firstLine="720"/>
      </w:pPr>
      <w:r>
        <w:t>“</w:t>
      </w:r>
      <w:r w:rsidRPr="003E2490">
        <w:t>(a)</w:t>
      </w:r>
      <w:r w:rsidRPr="003E2490">
        <w:tab/>
      </w:r>
      <w:r w:rsidRPr="003E2490">
        <w:rPr>
          <w:u w:val="single"/>
        </w:rPr>
        <w:t>General Assignment</w:t>
      </w:r>
      <w:r w:rsidRPr="003E2490">
        <w:t>.  Except as provided in Sections 10.6 (b) and (c), neither Party shall assign or transfer this Agreement or any of its rights hereunder without the prior written consent of the other Party, which consent shall not be unreasonably withheld so long as among other things (i) the assignee assumes all of the transferring Party’s payment and performance obligations under this Agreement, (ii) the assignee agrees in writing to be bound by the terms and conditions hereof, (iii) the transferring Party delivers evidence satisfactory to the non-transferring Party of the proposed assignee’s technical and financial capability to fulfill the assigning Party’s obligations hereunder, (iv) the transferring Party delivers such tax and enforceability assurance as the other Party may reasonably request; and (v) in the case of an assignment by Seller, the assignee assumes the rights and obligations of the Seller under each CSA. Notwithstanding the foregoing and except as provided in Section 10.6(b), consent shall not be required for an assignment of this Agreement where the assigning Party remains subject to liability or obligation under this Agreement, provided that (i) the assignee assumes the assigning Party’s payment and performance obligations under this Agreement, (ii) the assignee agrees in writing to be bound by the terms and conditions hereof, and (iii) the assigning Party provides the other Party hereto with at least thirty (30) days’ prior written notice of the assignment.</w:t>
      </w:r>
      <w:r>
        <w:t>”</w:t>
      </w:r>
      <w:r w:rsidR="00C1719F" w:rsidRPr="00C1719F">
        <w:t xml:space="preserve"> </w:t>
      </w:r>
    </w:p>
    <w:p w:rsidR="00E16E24" w:rsidRDefault="00FB74EA" w:rsidP="00FB74EA">
      <w:pPr>
        <w:pStyle w:val="RAMRiderpara1"/>
      </w:pPr>
      <w:r w:rsidRPr="00FB74EA">
        <w:rPr>
          <w:b/>
        </w:rPr>
        <w:t>2</w:t>
      </w:r>
      <w:r w:rsidR="00DB1696">
        <w:rPr>
          <w:b/>
        </w:rPr>
        <w:t>5</w:t>
      </w:r>
      <w:r w:rsidRPr="00FB74EA">
        <w:rPr>
          <w:b/>
        </w:rPr>
        <w:t>.</w:t>
      </w:r>
      <w:r w:rsidR="003E2490">
        <w:tab/>
        <w:t xml:space="preserve">Section 10.13 </w:t>
      </w:r>
      <w:r w:rsidR="003E2490" w:rsidRPr="003E2490">
        <w:rPr>
          <w:u w:val="single"/>
        </w:rPr>
        <w:t>General</w:t>
      </w:r>
      <w:r w:rsidR="003E2490">
        <w:t>: a new subsection (a) shall be added to Section 10.13 containing the language shown below:</w:t>
      </w:r>
    </w:p>
    <w:p w:rsidR="00C37502" w:rsidRPr="00C37502" w:rsidRDefault="003E2490" w:rsidP="00C37502">
      <w:pPr>
        <w:ind w:left="720" w:firstLine="720"/>
      </w:pPr>
      <w:r>
        <w:t>“</w:t>
      </w:r>
      <w:r w:rsidRPr="003E2490">
        <w:t>(a)</w:t>
      </w:r>
      <w:r w:rsidRPr="003E2490">
        <w:tab/>
        <w:t xml:space="preserve">Neither </w:t>
      </w:r>
      <w:r w:rsidR="009379DB">
        <w:t xml:space="preserve">a </w:t>
      </w:r>
      <w:r w:rsidRPr="003E2490">
        <w:t>Customer</w:t>
      </w:r>
      <w:r w:rsidR="009379DB">
        <w:t>,</w:t>
      </w:r>
      <w:r w:rsidRPr="003E2490">
        <w:t xml:space="preserve"> nor any other third party</w:t>
      </w:r>
      <w:r w:rsidR="009379DB">
        <w:t>,</w:t>
      </w:r>
      <w:r w:rsidRPr="003E2490">
        <w:t xml:space="preserve"> shall be a </w:t>
      </w:r>
      <w:proofErr w:type="gramStart"/>
      <w:r w:rsidRPr="003E2490">
        <w:t>third party</w:t>
      </w:r>
      <w:proofErr w:type="gramEnd"/>
      <w:r w:rsidRPr="003E2490">
        <w:t xml:space="preserve"> beneficiary of this Agreement.</w:t>
      </w:r>
      <w:r>
        <w:t>”</w:t>
      </w:r>
      <w:r w:rsidR="00C37502" w:rsidRPr="00C37502">
        <w:t xml:space="preserve"> </w:t>
      </w:r>
    </w:p>
    <w:p w:rsidR="003E2490" w:rsidRDefault="00FB74EA" w:rsidP="00FB74EA">
      <w:pPr>
        <w:pStyle w:val="RAMRiderpara1"/>
      </w:pPr>
      <w:r w:rsidRPr="00FB74EA">
        <w:rPr>
          <w:b/>
        </w:rPr>
        <w:lastRenderedPageBreak/>
        <w:t>2</w:t>
      </w:r>
      <w:r w:rsidR="00DB1696">
        <w:rPr>
          <w:b/>
        </w:rPr>
        <w:t>6</w:t>
      </w:r>
      <w:r w:rsidRPr="00FB74EA">
        <w:rPr>
          <w:b/>
        </w:rPr>
        <w:t>.</w:t>
      </w:r>
      <w:r w:rsidR="003E2490">
        <w:tab/>
        <w:t>Section 11.1(b)(i) shall be deleted in its entirety and replaced with the following:</w:t>
      </w:r>
    </w:p>
    <w:p w:rsidR="00C37502" w:rsidRPr="00C37502" w:rsidRDefault="003E2490" w:rsidP="00C37502">
      <w:pPr>
        <w:ind w:left="720" w:firstLine="720"/>
      </w:pPr>
      <w:r>
        <w:t>“</w:t>
      </w:r>
      <w:r w:rsidRPr="003E2490">
        <w:t>(i)</w:t>
      </w:r>
      <w:r w:rsidRPr="003E2490">
        <w:tab/>
        <w:t xml:space="preserve">If Buyer exercises its termination right </w:t>
      </w:r>
      <w:proofErr w:type="gramStart"/>
      <w:r w:rsidRPr="003E2490">
        <w:t>in connection with</w:t>
      </w:r>
      <w:proofErr w:type="gramEnd"/>
      <w:r w:rsidRPr="003E2490">
        <w:t xml:space="preserve"> the Force Majeure Failure, then the Agreement shall terminate without further liability of either Party to the other, effective upon the date set forth in Buyer’s Notice of termination, subject to each Party’s satisfaction of all of the final payment and survival obligations set forth in Sections 2.6(a) and (b).  The Parties agree that for a period of three (3) years from the date on which Buyer Notifies Seller of termination due to the Force Majeure Failure (“Exclusivity Period”), neither Seller, its successors and assigns, nor its Affiliates shall enter into an obligation or agreement to sell or otherwise transfer any Products from the Project to any third party, unless Seller first offers, in writing, to sell to Buyer such Products from the Project on the same terms and conditions as this Agreement and at the lesser of the Unsubscribed Energy Price and the Contract Price, subject to permitted modifications identified in subpart (ii) below, (the “First Offer”) and Buyer either accepts or rejects such First Offer in accordance with the provisions herein.</w:t>
      </w:r>
      <w:r>
        <w:t>”</w:t>
      </w:r>
      <w:r w:rsidR="00C37502" w:rsidRPr="00C37502">
        <w:t xml:space="preserve"> </w:t>
      </w:r>
    </w:p>
    <w:p w:rsidR="003E2490" w:rsidRDefault="00FB74EA" w:rsidP="000551E5">
      <w:pPr>
        <w:pStyle w:val="RAMRiderpara1"/>
      </w:pPr>
      <w:r w:rsidRPr="00FB74EA">
        <w:rPr>
          <w:b/>
        </w:rPr>
        <w:t>2</w:t>
      </w:r>
      <w:r w:rsidR="00DB1696">
        <w:rPr>
          <w:b/>
        </w:rPr>
        <w:t>7</w:t>
      </w:r>
      <w:r w:rsidR="000551E5">
        <w:rPr>
          <w:b/>
        </w:rPr>
        <w:t>.</w:t>
      </w:r>
      <w:r w:rsidR="003E2490">
        <w:tab/>
        <w:t xml:space="preserve">A new </w:t>
      </w:r>
      <w:r w:rsidR="003E2490" w:rsidRPr="003B70AD">
        <w:rPr>
          <w:u w:val="single"/>
        </w:rPr>
        <w:t>Appendix XV</w:t>
      </w:r>
      <w:r w:rsidR="003E2490">
        <w:t>, “Subscribed Customer Reporting Form” is added to the Agreement</w:t>
      </w:r>
      <w:r w:rsidR="00C37502">
        <w:t xml:space="preserve"> </w:t>
      </w:r>
      <w:r w:rsidR="003B70AD">
        <w:t xml:space="preserve">and can be found as </w:t>
      </w:r>
      <w:r w:rsidR="003B70AD" w:rsidRPr="003B70AD">
        <w:rPr>
          <w:u w:val="single"/>
        </w:rPr>
        <w:t xml:space="preserve">Attachment </w:t>
      </w:r>
      <w:r w:rsidR="00C37502">
        <w:rPr>
          <w:u w:val="single"/>
        </w:rPr>
        <w:t>3</w:t>
      </w:r>
      <w:r w:rsidR="003B70AD">
        <w:t xml:space="preserve"> to this </w:t>
      </w:r>
      <w:r w:rsidR="00795CA7">
        <w:t>RRC</w:t>
      </w:r>
      <w:r w:rsidR="003B70AD">
        <w:t xml:space="preserve"> Rider and Amendment.</w:t>
      </w:r>
      <w:r w:rsidR="009C24DE" w:rsidRPr="009C24DE">
        <w:t xml:space="preserve"> </w:t>
      </w:r>
      <w:r w:rsidR="009C24DE">
        <w:t xml:space="preserve"> This new appendix is cross referenced in new Section 3.10(a) (see Section 1</w:t>
      </w:r>
      <w:r w:rsidR="00EF0B6B">
        <w:t>2</w:t>
      </w:r>
      <w:r w:rsidR="009C24DE">
        <w:t xml:space="preserve"> of this </w:t>
      </w:r>
      <w:r w:rsidR="00795CA7">
        <w:t>RRC</w:t>
      </w:r>
      <w:r w:rsidR="009C24DE">
        <w:t xml:space="preserve"> Rider and Amendment).</w:t>
      </w:r>
    </w:p>
    <w:p w:rsidR="00440B95" w:rsidRPr="00C37502" w:rsidRDefault="00BD4DAC" w:rsidP="000551E5">
      <w:pPr>
        <w:spacing w:before="240"/>
      </w:pPr>
      <w:r w:rsidRPr="00FB74EA">
        <w:rPr>
          <w:b/>
        </w:rPr>
        <w:t>III</w:t>
      </w:r>
      <w:r w:rsidR="003B70AD" w:rsidRPr="00FB74EA">
        <w:rPr>
          <w:b/>
        </w:rPr>
        <w:t>.</w:t>
      </w:r>
      <w:r w:rsidR="003B70AD">
        <w:tab/>
      </w:r>
      <w:r w:rsidR="003B70AD" w:rsidRPr="003B70AD">
        <w:rPr>
          <w:u w:val="single"/>
        </w:rPr>
        <w:t>MISCELLANEOUS</w:t>
      </w:r>
      <w:r w:rsidR="008C6015">
        <w:rPr>
          <w:u w:val="single"/>
        </w:rPr>
        <w:t>.</w:t>
      </w:r>
      <w:r w:rsidR="008C6015" w:rsidRPr="008C6015">
        <w:t xml:space="preserve">  This</w:t>
      </w:r>
      <w:r w:rsidR="008C6015">
        <w:t xml:space="preserve"> </w:t>
      </w:r>
      <w:r w:rsidR="008C6015" w:rsidRPr="008C6015">
        <w:t>S</w:t>
      </w:r>
      <w:r w:rsidR="008C6015">
        <w:t>e</w:t>
      </w:r>
      <w:r w:rsidR="008C6015" w:rsidRPr="008C6015">
        <w:t xml:space="preserve">ction </w:t>
      </w:r>
      <w:r w:rsidR="009C24DE">
        <w:t>III</w:t>
      </w:r>
      <w:r w:rsidR="008C6015" w:rsidRPr="008C6015">
        <w:t xml:space="preserve"> applies to this </w:t>
      </w:r>
      <w:r w:rsidR="00795CA7">
        <w:t>RRC</w:t>
      </w:r>
      <w:r w:rsidR="008C6015" w:rsidRPr="008C6015">
        <w:t xml:space="preserve"> Rider and Amendment.</w:t>
      </w:r>
    </w:p>
    <w:p w:rsidR="003B70AD" w:rsidRDefault="00FB74EA" w:rsidP="00FB74EA">
      <w:pPr>
        <w:pStyle w:val="RAMRiderpara1"/>
      </w:pPr>
      <w:r w:rsidRPr="00FB74EA">
        <w:rPr>
          <w:b/>
        </w:rPr>
        <w:t>1.</w:t>
      </w:r>
      <w:r w:rsidR="003B70AD">
        <w:tab/>
      </w:r>
      <w:r w:rsidR="003B70AD" w:rsidRPr="008C6015">
        <w:rPr>
          <w:u w:val="single"/>
        </w:rPr>
        <w:t>Reservation of Rights</w:t>
      </w:r>
      <w:r w:rsidR="003B70AD">
        <w:t xml:space="preserve">. </w:t>
      </w:r>
      <w:r w:rsidR="008C6015">
        <w:t xml:space="preserve"> </w:t>
      </w:r>
      <w:r w:rsidR="003B70AD">
        <w:t xml:space="preserve">Each of the Parties expressly reserves </w:t>
      </w:r>
      <w:proofErr w:type="gramStart"/>
      <w:r w:rsidR="003B70AD">
        <w:t>all of</w:t>
      </w:r>
      <w:proofErr w:type="gramEnd"/>
      <w:r w:rsidR="003B70AD">
        <w:t xml:space="preserve"> its respective rights and remedies under the Agreement.</w:t>
      </w:r>
    </w:p>
    <w:p w:rsidR="003B70AD" w:rsidRDefault="00FB74EA" w:rsidP="00FB74EA">
      <w:pPr>
        <w:pStyle w:val="RAMRiderpara1"/>
      </w:pPr>
      <w:r w:rsidRPr="00FB74EA">
        <w:rPr>
          <w:b/>
        </w:rPr>
        <w:t>2.</w:t>
      </w:r>
      <w:r w:rsidR="003B70AD">
        <w:tab/>
      </w:r>
      <w:r w:rsidR="003B70AD" w:rsidRPr="008C6015">
        <w:rPr>
          <w:u w:val="single"/>
        </w:rPr>
        <w:t>Legal Effect</w:t>
      </w:r>
      <w:r w:rsidR="003B70AD">
        <w:t>.</w:t>
      </w:r>
      <w:r w:rsidR="008C6015">
        <w:t xml:space="preserve"> </w:t>
      </w:r>
      <w:r w:rsidR="003B70AD">
        <w:t xml:space="preserve"> Except as expressly modified as set forth herein, the Agreement remains unchanged and, as so modified, the Agreement shall remain in full force and effect. </w:t>
      </w:r>
      <w:r w:rsidR="008C6015">
        <w:t xml:space="preserve"> </w:t>
      </w:r>
      <w:r w:rsidR="003B70AD">
        <w:t>Each of the Parties hereby represents and warrants that the representations contained in the Agreement are true on and as of the date hereof as if made by the Party on and as of said date.</w:t>
      </w:r>
    </w:p>
    <w:p w:rsidR="003B70AD" w:rsidRDefault="00FB74EA" w:rsidP="00FB74EA">
      <w:pPr>
        <w:pStyle w:val="RAMRiderpara1"/>
      </w:pPr>
      <w:r w:rsidRPr="00FB74EA">
        <w:rPr>
          <w:b/>
        </w:rPr>
        <w:t>3.</w:t>
      </w:r>
      <w:r w:rsidR="003B70AD">
        <w:tab/>
      </w:r>
      <w:r w:rsidR="003B70AD" w:rsidRPr="008C6015">
        <w:rPr>
          <w:u w:val="single"/>
        </w:rPr>
        <w:t>Governing Law</w:t>
      </w:r>
      <w:r w:rsidR="003B70AD">
        <w:t xml:space="preserve">. </w:t>
      </w:r>
      <w:r w:rsidR="008C6015">
        <w:t xml:space="preserve"> </w:t>
      </w:r>
      <w:r w:rsidR="003B70AD">
        <w:t xml:space="preserve">THIS </w:t>
      </w:r>
      <w:r w:rsidR="00795CA7">
        <w:t>RRC</w:t>
      </w:r>
      <w:r w:rsidR="000978F7">
        <w:t xml:space="preserve"> </w:t>
      </w:r>
      <w:r w:rsidR="003B70AD">
        <w:t xml:space="preserve">RIDER AND AMENDMENT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w:t>
      </w:r>
      <w:proofErr w:type="gramStart"/>
      <w:r w:rsidR="003B70AD">
        <w:t>IN CONNECTION WITH</w:t>
      </w:r>
      <w:proofErr w:type="gramEnd"/>
      <w:r w:rsidR="003B70AD">
        <w:t xml:space="preserve"> THIS </w:t>
      </w:r>
      <w:r w:rsidR="006573F8">
        <w:t>RRC</w:t>
      </w:r>
      <w:r w:rsidR="003B70AD">
        <w:t xml:space="preserve"> RIDER AND AMENDMENT. </w:t>
      </w:r>
    </w:p>
    <w:p w:rsidR="003B70AD" w:rsidRDefault="00FB74EA" w:rsidP="00FB74EA">
      <w:pPr>
        <w:pStyle w:val="RAMRiderpara1"/>
      </w:pPr>
      <w:r w:rsidRPr="00FB74EA">
        <w:rPr>
          <w:b/>
        </w:rPr>
        <w:t>4.</w:t>
      </w:r>
      <w:r w:rsidR="003B70AD">
        <w:tab/>
      </w:r>
      <w:r w:rsidR="003B70AD" w:rsidRPr="008C6015">
        <w:rPr>
          <w:u w:val="single"/>
        </w:rPr>
        <w:t>Successors and Assigns</w:t>
      </w:r>
      <w:r w:rsidR="003B70AD">
        <w:t xml:space="preserve">. </w:t>
      </w:r>
      <w:r w:rsidR="008C6015">
        <w:t xml:space="preserve"> </w:t>
      </w:r>
      <w:r w:rsidR="003B70AD">
        <w:t xml:space="preserve">This </w:t>
      </w:r>
      <w:r w:rsidR="00795CA7">
        <w:t>RRC</w:t>
      </w:r>
      <w:r w:rsidR="003B70AD">
        <w:t xml:space="preserve"> Rider and Amendment shall be binding upon and inure to the benefit of the Parties hereto and their respective successors and assigns.</w:t>
      </w:r>
    </w:p>
    <w:p w:rsidR="003B70AD" w:rsidRDefault="00FB74EA" w:rsidP="00FB74EA">
      <w:pPr>
        <w:pStyle w:val="RAMRiderpara1"/>
      </w:pPr>
      <w:r w:rsidRPr="00FB74EA">
        <w:rPr>
          <w:b/>
        </w:rPr>
        <w:t>5.</w:t>
      </w:r>
      <w:r w:rsidR="003B70AD">
        <w:tab/>
      </w:r>
      <w:r w:rsidR="003B70AD" w:rsidRPr="008C6015">
        <w:rPr>
          <w:u w:val="single"/>
        </w:rPr>
        <w:t>Notices</w:t>
      </w:r>
      <w:r w:rsidR="003B70AD">
        <w:t xml:space="preserve">. </w:t>
      </w:r>
      <w:r w:rsidR="008C6015">
        <w:t xml:space="preserve"> </w:t>
      </w:r>
      <w:r w:rsidR="003B70AD">
        <w:t xml:space="preserve">Any written notice required to be given under the terms of this </w:t>
      </w:r>
      <w:r w:rsidR="00795CA7">
        <w:t>RRC</w:t>
      </w:r>
      <w:r w:rsidR="003B70AD">
        <w:t xml:space="preserve"> Rider and Amendment shall be given in accordance with the terms of the Agreement.</w:t>
      </w:r>
    </w:p>
    <w:p w:rsidR="003B70AD" w:rsidRDefault="00FB74EA" w:rsidP="00FB74EA">
      <w:pPr>
        <w:pStyle w:val="RAMRiderpara1"/>
      </w:pPr>
      <w:r w:rsidRPr="00FB74EA">
        <w:rPr>
          <w:b/>
        </w:rPr>
        <w:t>6.</w:t>
      </w:r>
      <w:r w:rsidR="003B70AD">
        <w:tab/>
      </w:r>
      <w:r w:rsidR="003B70AD" w:rsidRPr="008C6015">
        <w:rPr>
          <w:u w:val="single"/>
        </w:rPr>
        <w:t>Effective Date</w:t>
      </w:r>
      <w:r w:rsidR="003B70AD">
        <w:t>.</w:t>
      </w:r>
      <w:r w:rsidR="008C6015">
        <w:t xml:space="preserve"> </w:t>
      </w:r>
      <w:r w:rsidR="003B70AD">
        <w:t xml:space="preserve"> This </w:t>
      </w:r>
      <w:r w:rsidR="00795CA7">
        <w:t>RRC</w:t>
      </w:r>
      <w:r w:rsidR="003B70AD">
        <w:t xml:space="preserve"> Rider and Amendment shall be deemed effective as of the Execution Date. </w:t>
      </w:r>
    </w:p>
    <w:p w:rsidR="003B70AD" w:rsidRDefault="00FB74EA" w:rsidP="00FB74EA">
      <w:pPr>
        <w:pStyle w:val="RAMRiderpara1"/>
      </w:pPr>
      <w:r w:rsidRPr="00FB74EA">
        <w:rPr>
          <w:b/>
        </w:rPr>
        <w:t>7.</w:t>
      </w:r>
      <w:r w:rsidR="003B70AD">
        <w:tab/>
      </w:r>
      <w:r w:rsidR="003B70AD" w:rsidRPr="008C6015">
        <w:rPr>
          <w:u w:val="single"/>
        </w:rPr>
        <w:t>Further Agreements</w:t>
      </w:r>
      <w:r w:rsidR="003B70AD">
        <w:t>.</w:t>
      </w:r>
      <w:r w:rsidR="008C6015">
        <w:t xml:space="preserve"> </w:t>
      </w:r>
      <w:r w:rsidR="003B70AD">
        <w:t xml:space="preserve"> This </w:t>
      </w:r>
      <w:r w:rsidR="00795CA7">
        <w:t>RRC</w:t>
      </w:r>
      <w:r w:rsidR="003B70AD">
        <w:t xml:space="preserve"> Rider and Amendment shall not be amended, changed, modified, abrogated or superseded by a subsequent agreement unless such subsequent agreement is in the form of a written instrument signed by the Parties.</w:t>
      </w:r>
    </w:p>
    <w:p w:rsidR="003B70AD" w:rsidRDefault="00FB74EA" w:rsidP="00FB74EA">
      <w:pPr>
        <w:pStyle w:val="RAMRiderpara1"/>
      </w:pPr>
      <w:r w:rsidRPr="00FB74EA">
        <w:rPr>
          <w:b/>
        </w:rPr>
        <w:lastRenderedPageBreak/>
        <w:t>8.</w:t>
      </w:r>
      <w:r w:rsidR="003B70AD">
        <w:tab/>
      </w:r>
      <w:r w:rsidR="008C6015" w:rsidRPr="008C6015">
        <w:rPr>
          <w:u w:val="single"/>
        </w:rPr>
        <w:t xml:space="preserve">Authorized Signatures; </w:t>
      </w:r>
      <w:r w:rsidR="003B70AD" w:rsidRPr="008C6015">
        <w:rPr>
          <w:u w:val="single"/>
        </w:rPr>
        <w:t>Counterparts; Electronic Signatures</w:t>
      </w:r>
      <w:r w:rsidR="003B70AD">
        <w:t xml:space="preserve">. </w:t>
      </w:r>
      <w:r w:rsidR="008C6015">
        <w:t xml:space="preserve"> </w:t>
      </w:r>
      <w:r w:rsidR="003B70AD">
        <w:t xml:space="preserve">This </w:t>
      </w:r>
      <w:r w:rsidR="00795CA7">
        <w:t>RRC</w:t>
      </w:r>
      <w:r w:rsidR="003B70AD">
        <w:t xml:space="preserve"> Rider and Amendment may be executed in one or more counterparts, each of which will be deemed to be an original of this </w:t>
      </w:r>
      <w:r w:rsidR="00795CA7">
        <w:t>RRC</w:t>
      </w:r>
      <w:r w:rsidR="003B70AD">
        <w:t xml:space="preserve"> Rider and Amendment and all of which, when taken together, will be deemed to constitute one and the same agreement.  </w:t>
      </w:r>
      <w:r w:rsidR="008C6015">
        <w:t xml:space="preserve">Each Party represents and warrants that the person who signs below on behalf of that Party has authority to execute this </w:t>
      </w:r>
      <w:r w:rsidR="00795CA7">
        <w:t>RRC</w:t>
      </w:r>
      <w:r w:rsidR="008C6015">
        <w:t xml:space="preserve"> Rider and Amendment on behalf of such Party and to bind such Party to this </w:t>
      </w:r>
      <w:r w:rsidR="00795CA7">
        <w:t>RRC</w:t>
      </w:r>
      <w:r w:rsidR="008C6015">
        <w:t xml:space="preserve"> Rider and Amendment.  </w:t>
      </w:r>
      <w:r w:rsidR="003B70AD">
        <w:t xml:space="preserve">The exchange of copies of this </w:t>
      </w:r>
      <w:r w:rsidR="00795CA7">
        <w:t>RRC</w:t>
      </w:r>
      <w:r w:rsidR="003B70AD">
        <w:t xml:space="preserve"> Rider and Amendment and of signature pages by facsimile transmission, Portable Document Format (i.e., PDF), or by other electronic means shall constitute effective execution and delivery of this</w:t>
      </w:r>
      <w:r w:rsidR="008C6015">
        <w:t xml:space="preserve"> </w:t>
      </w:r>
      <w:r w:rsidR="00795CA7">
        <w:t>RRC</w:t>
      </w:r>
      <w:r w:rsidR="003B70AD">
        <w:t xml:space="preserve"> Rider and Amendment as to the Parties and may be used in lieu of the original</w:t>
      </w:r>
      <w:r w:rsidR="008C6015">
        <w:t xml:space="preserve"> </w:t>
      </w:r>
      <w:r w:rsidR="00795CA7">
        <w:t>RRC</w:t>
      </w:r>
      <w:r w:rsidR="003B70AD">
        <w:t xml:space="preserve"> Rider and Amendment for all purposes.  </w:t>
      </w:r>
    </w:p>
    <w:tbl>
      <w:tblPr>
        <w:tblW w:w="9504" w:type="dxa"/>
        <w:tblLook w:val="0000" w:firstRow="0" w:lastRow="0" w:firstColumn="0" w:lastColumn="0" w:noHBand="0" w:noVBand="0"/>
      </w:tblPr>
      <w:tblGrid>
        <w:gridCol w:w="1131"/>
        <w:gridCol w:w="3624"/>
        <w:gridCol w:w="1125"/>
        <w:gridCol w:w="3156"/>
        <w:gridCol w:w="468"/>
      </w:tblGrid>
      <w:tr w:rsidR="008C6015" w:rsidRPr="00BA7379" w:rsidTr="00227ED2">
        <w:trPr>
          <w:gridAfter w:val="1"/>
          <w:wAfter w:w="468" w:type="dxa"/>
          <w:trHeight w:val="285"/>
        </w:trPr>
        <w:tc>
          <w:tcPr>
            <w:tcW w:w="9036" w:type="dxa"/>
            <w:gridSpan w:val="4"/>
            <w:tcBorders>
              <w:bottom w:val="single" w:sz="4" w:space="0" w:color="auto"/>
            </w:tcBorders>
          </w:tcPr>
          <w:p w:rsidR="008C6015" w:rsidRPr="00BA7379" w:rsidRDefault="008C6015" w:rsidP="008C6015">
            <w:pPr>
              <w:keepNext/>
              <w:spacing w:after="200"/>
              <w:jc w:val="center"/>
            </w:pPr>
            <w:bookmarkStart w:id="6" w:name="_Toc231118765"/>
            <w:bookmarkStart w:id="7" w:name="_Toc208809596"/>
            <w:r w:rsidRPr="00BA7379">
              <w:rPr>
                <w:b/>
              </w:rPr>
              <w:t>SIGNATURES</w:t>
            </w:r>
            <w:bookmarkEnd w:id="6"/>
            <w:bookmarkEnd w:id="7"/>
          </w:p>
        </w:tc>
      </w:tr>
      <w:tr w:rsidR="008C6015" w:rsidRPr="00BA7379" w:rsidTr="00227ED2">
        <w:trPr>
          <w:gridAfter w:val="1"/>
          <w:wAfter w:w="468" w:type="dxa"/>
          <w:trHeight w:val="750"/>
        </w:trPr>
        <w:tc>
          <w:tcPr>
            <w:tcW w:w="9036" w:type="dxa"/>
            <w:gridSpan w:val="4"/>
            <w:tcBorders>
              <w:top w:val="single" w:sz="4" w:space="0" w:color="auto"/>
            </w:tcBorders>
          </w:tcPr>
          <w:p w:rsidR="008C6015" w:rsidRPr="00BA7379" w:rsidRDefault="008C6015" w:rsidP="00C1719F">
            <w:pPr>
              <w:keepNext/>
              <w:spacing w:after="200"/>
            </w:pPr>
            <w:r w:rsidRPr="00BA7379">
              <w:rPr>
                <w:b/>
                <w:bCs/>
                <w:u w:val="single"/>
              </w:rPr>
              <w:t>Agreement Execution</w:t>
            </w:r>
          </w:p>
          <w:p w:rsidR="008C6015" w:rsidRPr="00BA7379" w:rsidRDefault="008C6015">
            <w:pPr>
              <w:keepNext/>
              <w:spacing w:after="200"/>
              <w:jc w:val="both"/>
              <w:rPr>
                <w:u w:val="single"/>
              </w:rPr>
            </w:pPr>
            <w:r w:rsidRPr="00BA7379">
              <w:t xml:space="preserve">In WITNESS WHEREOF, each Party has caused this </w:t>
            </w:r>
            <w:r w:rsidR="00795CA7">
              <w:t>RRC</w:t>
            </w:r>
            <w:r>
              <w:t xml:space="preserve"> Rider and Amendment</w:t>
            </w:r>
            <w:r w:rsidRPr="00BA7379">
              <w:t xml:space="preserve"> to be duly executed by its authorized representative as of the dates provided below:</w:t>
            </w:r>
          </w:p>
        </w:tc>
      </w:tr>
      <w:tr w:rsidR="008C6015" w:rsidRPr="00BA7379" w:rsidTr="00227ED2">
        <w:tblPrEx>
          <w:tblLook w:val="00A0" w:firstRow="1" w:lastRow="0" w:firstColumn="1" w:lastColumn="0" w:noHBand="0" w:noVBand="0"/>
        </w:tblPrEx>
        <w:trPr>
          <w:trHeight w:val="720"/>
        </w:trPr>
        <w:tc>
          <w:tcPr>
            <w:tcW w:w="4755" w:type="dxa"/>
            <w:gridSpan w:val="2"/>
            <w:vAlign w:val="bottom"/>
          </w:tcPr>
          <w:p w:rsidR="008C6015" w:rsidRPr="00BA7379" w:rsidRDefault="008C6015" w:rsidP="005C1E59">
            <w:pPr>
              <w:keepNext/>
              <w:spacing w:after="0"/>
            </w:pPr>
            <w:r w:rsidRPr="00227ED2">
              <w:rPr>
                <w:highlight w:val="cyan"/>
              </w:rPr>
              <w:t>[</w:t>
            </w:r>
            <w:r w:rsidRPr="00227ED2">
              <w:rPr>
                <w:b/>
                <w:highlight w:val="cyan"/>
              </w:rPr>
              <w:t>SELLER, a (</w:t>
            </w:r>
            <w:r w:rsidRPr="00227ED2">
              <w:rPr>
                <w:b/>
                <w:i/>
                <w:highlight w:val="cyan"/>
              </w:rPr>
              <w:t>include place of formation and business type</w:t>
            </w:r>
            <w:r w:rsidRPr="00227ED2">
              <w:rPr>
                <w:b/>
                <w:highlight w:val="cyan"/>
              </w:rPr>
              <w:t>)</w:t>
            </w:r>
            <w:r w:rsidRPr="00227ED2">
              <w:rPr>
                <w:highlight w:val="cyan"/>
              </w:rPr>
              <w:t>]</w:t>
            </w:r>
          </w:p>
        </w:tc>
        <w:tc>
          <w:tcPr>
            <w:tcW w:w="4749" w:type="dxa"/>
            <w:gridSpan w:val="3"/>
            <w:vAlign w:val="bottom"/>
          </w:tcPr>
          <w:p w:rsidR="008C6015" w:rsidRPr="00BA7379" w:rsidRDefault="008C6015" w:rsidP="005C1E59">
            <w:pPr>
              <w:keepNext/>
              <w:spacing w:after="0"/>
              <w:rPr>
                <w:b/>
              </w:rPr>
            </w:pPr>
            <w:r w:rsidRPr="00BA7379">
              <w:rPr>
                <w:b/>
              </w:rPr>
              <w:t>PACIFIC GAS AND ELECTRIC COMPANY, a California corporation</w:t>
            </w:r>
          </w:p>
        </w:tc>
      </w:tr>
      <w:tr w:rsidR="008C6015" w:rsidRPr="00BA7379" w:rsidTr="00227ED2">
        <w:tblPrEx>
          <w:tblLook w:val="00A0" w:firstRow="1" w:lastRow="0" w:firstColumn="1" w:lastColumn="0" w:noHBand="0" w:noVBand="0"/>
        </w:tblPrEx>
        <w:trPr>
          <w:trHeight w:val="720"/>
        </w:trPr>
        <w:tc>
          <w:tcPr>
            <w:tcW w:w="1131" w:type="dxa"/>
            <w:vAlign w:val="bottom"/>
          </w:tcPr>
          <w:p w:rsidR="008C6015" w:rsidRPr="00BA7379" w:rsidRDefault="008C6015" w:rsidP="005C1E59">
            <w:pPr>
              <w:keepNext/>
              <w:spacing w:after="0"/>
              <w:jc w:val="right"/>
            </w:pPr>
            <w:r w:rsidRPr="00BA7379">
              <w:t>Signature:</w:t>
            </w:r>
          </w:p>
        </w:tc>
        <w:tc>
          <w:tcPr>
            <w:tcW w:w="3624" w:type="dxa"/>
            <w:tcBorders>
              <w:bottom w:val="single" w:sz="4" w:space="0" w:color="auto"/>
            </w:tcBorders>
            <w:vAlign w:val="bottom"/>
          </w:tcPr>
          <w:p w:rsidR="008C6015" w:rsidRPr="00BA7379" w:rsidRDefault="008C6015" w:rsidP="00C1719F">
            <w:pPr>
              <w:keepNext/>
            </w:pPr>
          </w:p>
        </w:tc>
        <w:tc>
          <w:tcPr>
            <w:tcW w:w="1125" w:type="dxa"/>
            <w:vAlign w:val="bottom"/>
          </w:tcPr>
          <w:p w:rsidR="008C6015" w:rsidRPr="00BA7379" w:rsidRDefault="008C6015" w:rsidP="005C1E59">
            <w:pPr>
              <w:keepNext/>
              <w:spacing w:after="0"/>
              <w:jc w:val="right"/>
            </w:pPr>
            <w:r w:rsidRPr="00BA7379">
              <w:t>Signature:</w:t>
            </w:r>
          </w:p>
        </w:tc>
        <w:tc>
          <w:tcPr>
            <w:tcW w:w="3624" w:type="dxa"/>
            <w:gridSpan w:val="2"/>
            <w:tcBorders>
              <w:bottom w:val="single" w:sz="4" w:space="0" w:color="auto"/>
            </w:tcBorders>
            <w:vAlign w:val="bottom"/>
          </w:tcPr>
          <w:p w:rsidR="008C6015" w:rsidRPr="00BA7379" w:rsidRDefault="008C6015" w:rsidP="00C1719F">
            <w:pPr>
              <w:keepNext/>
            </w:pPr>
          </w:p>
        </w:tc>
      </w:tr>
      <w:tr w:rsidR="008C6015" w:rsidRPr="00BA7379" w:rsidTr="00227ED2">
        <w:tblPrEx>
          <w:tblLook w:val="00A0" w:firstRow="1" w:lastRow="0" w:firstColumn="1" w:lastColumn="0" w:noHBand="0" w:noVBand="0"/>
        </w:tblPrEx>
        <w:trPr>
          <w:trHeight w:val="432"/>
        </w:trPr>
        <w:tc>
          <w:tcPr>
            <w:tcW w:w="1131" w:type="dxa"/>
            <w:vAlign w:val="bottom"/>
          </w:tcPr>
          <w:p w:rsidR="008C6015" w:rsidRPr="00BA7379" w:rsidRDefault="008C6015" w:rsidP="005C1E59">
            <w:pPr>
              <w:keepNext/>
              <w:spacing w:after="0"/>
              <w:jc w:val="right"/>
            </w:pPr>
            <w:r w:rsidRPr="00BA7379">
              <w:t>Name:</w:t>
            </w:r>
          </w:p>
        </w:tc>
        <w:tc>
          <w:tcPr>
            <w:tcW w:w="3624" w:type="dxa"/>
            <w:tcBorders>
              <w:top w:val="single" w:sz="4" w:space="0" w:color="auto"/>
              <w:bottom w:val="single" w:sz="4" w:space="0" w:color="auto"/>
            </w:tcBorders>
            <w:vAlign w:val="bottom"/>
          </w:tcPr>
          <w:p w:rsidR="008C6015" w:rsidRPr="00BA7379" w:rsidRDefault="008C6015" w:rsidP="00C1719F">
            <w:pPr>
              <w:keepNext/>
            </w:pPr>
          </w:p>
        </w:tc>
        <w:tc>
          <w:tcPr>
            <w:tcW w:w="1125" w:type="dxa"/>
            <w:vAlign w:val="bottom"/>
          </w:tcPr>
          <w:p w:rsidR="008C6015" w:rsidRPr="00BA7379" w:rsidRDefault="008C6015" w:rsidP="005C1E59">
            <w:pPr>
              <w:keepNext/>
              <w:spacing w:after="0"/>
              <w:jc w:val="right"/>
            </w:pPr>
            <w:r w:rsidRPr="00BA7379">
              <w:t>Name:</w:t>
            </w:r>
          </w:p>
        </w:tc>
        <w:tc>
          <w:tcPr>
            <w:tcW w:w="3624" w:type="dxa"/>
            <w:gridSpan w:val="2"/>
            <w:tcBorders>
              <w:top w:val="single" w:sz="4" w:space="0" w:color="auto"/>
              <w:bottom w:val="single" w:sz="4" w:space="0" w:color="auto"/>
            </w:tcBorders>
            <w:vAlign w:val="bottom"/>
          </w:tcPr>
          <w:p w:rsidR="008C6015" w:rsidRPr="00BA7379" w:rsidRDefault="008C6015" w:rsidP="00C1719F">
            <w:pPr>
              <w:keepNext/>
            </w:pPr>
          </w:p>
        </w:tc>
      </w:tr>
      <w:tr w:rsidR="008C6015" w:rsidRPr="00BA7379" w:rsidTr="00227ED2">
        <w:tblPrEx>
          <w:tblLook w:val="00A0" w:firstRow="1" w:lastRow="0" w:firstColumn="1" w:lastColumn="0" w:noHBand="0" w:noVBand="0"/>
        </w:tblPrEx>
        <w:trPr>
          <w:trHeight w:val="432"/>
        </w:trPr>
        <w:tc>
          <w:tcPr>
            <w:tcW w:w="1131" w:type="dxa"/>
            <w:vAlign w:val="bottom"/>
          </w:tcPr>
          <w:p w:rsidR="008C6015" w:rsidRPr="00BA7379" w:rsidRDefault="008C6015" w:rsidP="005C1E59">
            <w:pPr>
              <w:keepNext/>
              <w:spacing w:after="0"/>
              <w:jc w:val="right"/>
            </w:pPr>
            <w:r w:rsidRPr="00BA7379">
              <w:t>Title:</w:t>
            </w:r>
          </w:p>
        </w:tc>
        <w:tc>
          <w:tcPr>
            <w:tcW w:w="3624" w:type="dxa"/>
            <w:tcBorders>
              <w:top w:val="single" w:sz="4" w:space="0" w:color="auto"/>
              <w:bottom w:val="single" w:sz="4" w:space="0" w:color="auto"/>
            </w:tcBorders>
            <w:vAlign w:val="bottom"/>
          </w:tcPr>
          <w:p w:rsidR="008C6015" w:rsidRPr="00BA7379" w:rsidRDefault="008C6015" w:rsidP="00C1719F">
            <w:pPr>
              <w:keepNext/>
            </w:pPr>
          </w:p>
        </w:tc>
        <w:tc>
          <w:tcPr>
            <w:tcW w:w="1125" w:type="dxa"/>
            <w:vAlign w:val="bottom"/>
          </w:tcPr>
          <w:p w:rsidR="008C6015" w:rsidRPr="00BA7379" w:rsidRDefault="008C6015" w:rsidP="005C1E59">
            <w:pPr>
              <w:keepNext/>
              <w:spacing w:after="0"/>
              <w:jc w:val="right"/>
            </w:pPr>
            <w:r w:rsidRPr="00BA7379">
              <w:t>Title:</w:t>
            </w:r>
          </w:p>
        </w:tc>
        <w:tc>
          <w:tcPr>
            <w:tcW w:w="3624" w:type="dxa"/>
            <w:gridSpan w:val="2"/>
            <w:tcBorders>
              <w:top w:val="single" w:sz="4" w:space="0" w:color="auto"/>
              <w:bottom w:val="single" w:sz="4" w:space="0" w:color="auto"/>
            </w:tcBorders>
            <w:vAlign w:val="bottom"/>
          </w:tcPr>
          <w:p w:rsidR="008C6015" w:rsidRPr="00BA7379" w:rsidRDefault="008C6015" w:rsidP="00C1719F">
            <w:pPr>
              <w:keepNext/>
            </w:pPr>
          </w:p>
        </w:tc>
      </w:tr>
      <w:tr w:rsidR="008C6015" w:rsidRPr="00BA7379" w:rsidTr="00227ED2">
        <w:tblPrEx>
          <w:tblLook w:val="00A0" w:firstRow="1" w:lastRow="0" w:firstColumn="1" w:lastColumn="0" w:noHBand="0" w:noVBand="0"/>
        </w:tblPrEx>
        <w:trPr>
          <w:trHeight w:val="432"/>
        </w:trPr>
        <w:tc>
          <w:tcPr>
            <w:tcW w:w="1131" w:type="dxa"/>
            <w:vAlign w:val="bottom"/>
          </w:tcPr>
          <w:p w:rsidR="008C6015" w:rsidRPr="00BA7379" w:rsidRDefault="008C6015" w:rsidP="005C1E59">
            <w:pPr>
              <w:spacing w:after="0"/>
              <w:jc w:val="right"/>
            </w:pPr>
            <w:r w:rsidRPr="00BA7379">
              <w:t>Date:</w:t>
            </w:r>
          </w:p>
        </w:tc>
        <w:tc>
          <w:tcPr>
            <w:tcW w:w="3624" w:type="dxa"/>
            <w:tcBorders>
              <w:top w:val="single" w:sz="4" w:space="0" w:color="auto"/>
              <w:bottom w:val="single" w:sz="4" w:space="0" w:color="auto"/>
            </w:tcBorders>
            <w:vAlign w:val="bottom"/>
          </w:tcPr>
          <w:p w:rsidR="008C6015" w:rsidRPr="00BA7379" w:rsidRDefault="008C6015" w:rsidP="00C1719F"/>
        </w:tc>
        <w:tc>
          <w:tcPr>
            <w:tcW w:w="1125" w:type="dxa"/>
            <w:vAlign w:val="bottom"/>
          </w:tcPr>
          <w:p w:rsidR="008C6015" w:rsidRPr="00BA7379" w:rsidRDefault="008C6015" w:rsidP="005C1E59">
            <w:pPr>
              <w:spacing w:after="0"/>
              <w:jc w:val="right"/>
            </w:pPr>
            <w:r w:rsidRPr="00BA7379">
              <w:t>Date:</w:t>
            </w:r>
          </w:p>
        </w:tc>
        <w:tc>
          <w:tcPr>
            <w:tcW w:w="3624" w:type="dxa"/>
            <w:gridSpan w:val="2"/>
            <w:tcBorders>
              <w:top w:val="single" w:sz="4" w:space="0" w:color="auto"/>
              <w:bottom w:val="single" w:sz="4" w:space="0" w:color="auto"/>
            </w:tcBorders>
            <w:vAlign w:val="bottom"/>
          </w:tcPr>
          <w:p w:rsidR="008C6015" w:rsidRPr="00BA7379" w:rsidRDefault="008C6015" w:rsidP="00C1719F"/>
        </w:tc>
      </w:tr>
    </w:tbl>
    <w:p w:rsidR="008C6015" w:rsidRPr="00FB74EA" w:rsidRDefault="008C6015" w:rsidP="00FB74EA"/>
    <w:p w:rsidR="005402ED" w:rsidRDefault="005402ED" w:rsidP="00FB74EA">
      <w:pPr>
        <w:sectPr w:rsidR="005402ED">
          <w:headerReference w:type="default" r:id="rId6"/>
          <w:footerReference w:type="default" r:id="rId7"/>
          <w:pgSz w:w="12240" w:h="15840"/>
          <w:pgMar w:top="1440" w:right="1440" w:bottom="1440" w:left="1440" w:header="720" w:footer="720" w:gutter="0"/>
          <w:cols w:space="720"/>
          <w:docGrid w:linePitch="360"/>
        </w:sectPr>
      </w:pPr>
    </w:p>
    <w:p w:rsidR="005402ED" w:rsidRPr="003B70AD" w:rsidRDefault="005402ED" w:rsidP="005402ED">
      <w:pPr>
        <w:jc w:val="center"/>
        <w:rPr>
          <w:b/>
          <w:sz w:val="24"/>
          <w:szCs w:val="24"/>
        </w:rPr>
      </w:pPr>
      <w:r w:rsidRPr="003B70AD">
        <w:rPr>
          <w:b/>
          <w:sz w:val="24"/>
          <w:szCs w:val="24"/>
        </w:rPr>
        <w:lastRenderedPageBreak/>
        <w:t xml:space="preserve">Attachment </w:t>
      </w:r>
      <w:r>
        <w:rPr>
          <w:b/>
          <w:sz w:val="24"/>
          <w:szCs w:val="24"/>
        </w:rPr>
        <w:t>1</w:t>
      </w:r>
      <w:r w:rsidRPr="003B70AD">
        <w:rPr>
          <w:b/>
          <w:sz w:val="24"/>
          <w:szCs w:val="24"/>
        </w:rPr>
        <w:t xml:space="preserve"> to </w:t>
      </w:r>
      <w:r w:rsidR="00795CA7">
        <w:rPr>
          <w:b/>
          <w:sz w:val="24"/>
          <w:szCs w:val="24"/>
        </w:rPr>
        <w:t>RRC</w:t>
      </w:r>
      <w:r w:rsidRPr="003B70AD">
        <w:rPr>
          <w:b/>
          <w:sz w:val="24"/>
          <w:szCs w:val="24"/>
        </w:rPr>
        <w:t xml:space="preserve"> Rider and Amendment</w:t>
      </w:r>
    </w:p>
    <w:p w:rsidR="005402ED" w:rsidRPr="002C2D84" w:rsidRDefault="00CE7684" w:rsidP="005402ED">
      <w:pPr>
        <w:rPr>
          <w:b/>
          <w:i/>
        </w:rPr>
      </w:pPr>
      <w:r w:rsidRPr="00CE7684">
        <w:t xml:space="preserve">Shown below are new Sections 3.1(r) and 3.1(s) to the Agreement.  </w:t>
      </w:r>
      <w:r w:rsidR="005402ED" w:rsidRPr="002C2D84">
        <w:rPr>
          <w:b/>
          <w:i/>
        </w:rPr>
        <w:t xml:space="preserve">[Please refer to Section </w:t>
      </w:r>
      <w:r>
        <w:rPr>
          <w:b/>
          <w:i/>
        </w:rPr>
        <w:t>II.</w:t>
      </w:r>
      <w:r w:rsidR="00C21AC6">
        <w:rPr>
          <w:b/>
          <w:i/>
        </w:rPr>
        <w:t>9</w:t>
      </w:r>
      <w:r w:rsidR="005402ED" w:rsidRPr="002C2D84">
        <w:rPr>
          <w:b/>
          <w:i/>
        </w:rPr>
        <w:t xml:space="preserve">. of the </w:t>
      </w:r>
      <w:r w:rsidR="00795CA7">
        <w:rPr>
          <w:b/>
          <w:i/>
        </w:rPr>
        <w:t>RRC</w:t>
      </w:r>
      <w:r w:rsidR="005402ED" w:rsidRPr="002C2D84">
        <w:rPr>
          <w:b/>
          <w:i/>
        </w:rPr>
        <w:t xml:space="preserve"> Rider and Amendment regarding the use of </w:t>
      </w:r>
      <w:r>
        <w:rPr>
          <w:b/>
          <w:i/>
        </w:rPr>
        <w:t>these sections</w:t>
      </w:r>
      <w:r w:rsidR="005402ED" w:rsidRPr="002C2D84">
        <w:rPr>
          <w:b/>
          <w:i/>
        </w:rPr>
        <w:t>.]</w:t>
      </w:r>
    </w:p>
    <w:p w:rsidR="008D750B" w:rsidRPr="00BA7379" w:rsidRDefault="005402ED" w:rsidP="008D750B">
      <w:pPr>
        <w:pStyle w:val="RAMPPAaparagraph"/>
        <w:keepNext/>
      </w:pPr>
      <w:r>
        <w:t>“(r)</w:t>
      </w:r>
      <w:r>
        <w:tab/>
      </w:r>
      <w:r w:rsidRPr="00B04B95">
        <w:rPr>
          <w:u w:val="single"/>
        </w:rPr>
        <w:t>Customer Seller Agreement Required Provisions</w:t>
      </w:r>
      <w:r>
        <w:t xml:space="preserve">.  Seller shall include </w:t>
      </w:r>
      <w:proofErr w:type="gramStart"/>
      <w:r>
        <w:t>all of</w:t>
      </w:r>
      <w:proofErr w:type="gramEnd"/>
      <w:r>
        <w:t xml:space="preserve"> the following provisions in each CSA.</w:t>
      </w:r>
      <w:r w:rsidR="008D750B" w:rsidRPr="008D750B">
        <w:t xml:space="preserve"> </w:t>
      </w:r>
    </w:p>
    <w:p w:rsidR="008D750B" w:rsidRPr="00BA7379" w:rsidRDefault="005402ED" w:rsidP="008D750B">
      <w:pPr>
        <w:pStyle w:val="RAMPPAiparagraph"/>
      </w:pPr>
      <w:r>
        <w:t>(i)</w:t>
      </w:r>
      <w:r>
        <w:tab/>
        <w:t xml:space="preserve">An outline detailing the program structure of the E-ECR </w:t>
      </w:r>
      <w:proofErr w:type="gramStart"/>
      <w:r>
        <w:t>Tariff ,</w:t>
      </w:r>
      <w:proofErr w:type="gramEnd"/>
      <w:r>
        <w:t xml:space="preserve"> including the bill credit mechanism and a statement that Buyer is not a party to, or third party beneficiary of, the CSA or the transactions between Seller and Customer, other than as a conduit for bill credits pursuant to Seller’s Subscription Information and Bill Credit Instructions;</w:t>
      </w:r>
      <w:r w:rsidR="008D750B" w:rsidRPr="008D750B">
        <w:t xml:space="preserve"> </w:t>
      </w:r>
    </w:p>
    <w:p w:rsidR="008D750B" w:rsidRPr="00BA7379" w:rsidRDefault="005402ED" w:rsidP="008D750B">
      <w:pPr>
        <w:pStyle w:val="RAMPPAiparagraph"/>
      </w:pPr>
      <w:r>
        <w:t>(ii)</w:t>
      </w:r>
      <w:r>
        <w:tab/>
        <w:t xml:space="preserve">The benefits and risks to Customer of subscribing to the Facility, including any termination of the PPA or termination fees that may be assessed by Seller or Buyer, and that Customer should not expect to receive bill credits </w:t>
      </w:r>
      <w:proofErr w:type="gramStart"/>
      <w:r>
        <w:t>in excess of</w:t>
      </w:r>
      <w:proofErr w:type="gramEnd"/>
      <w:r>
        <w:t xml:space="preserve"> the amount of consideration it provides to Seller under the CSA;</w:t>
      </w:r>
      <w:r w:rsidR="008D750B" w:rsidRPr="008D750B">
        <w:t xml:space="preserve"> </w:t>
      </w:r>
    </w:p>
    <w:p w:rsidR="008D750B" w:rsidRPr="00BA7379" w:rsidRDefault="005402ED" w:rsidP="008D750B">
      <w:pPr>
        <w:pStyle w:val="RAMPPAiparagraph"/>
      </w:pPr>
      <w:r>
        <w:t>(iii)</w:t>
      </w:r>
      <w:r>
        <w:tab/>
        <w:t>Customer acknowledgment of the risks associated with participating in wholesale energy markets;</w:t>
      </w:r>
      <w:r w:rsidR="008D750B" w:rsidRPr="008D750B">
        <w:t xml:space="preserve"> </w:t>
      </w:r>
    </w:p>
    <w:p w:rsidR="008D750B" w:rsidRPr="00BA7379" w:rsidRDefault="005402ED" w:rsidP="008D750B">
      <w:pPr>
        <w:pStyle w:val="RAMPPAiparagraph"/>
      </w:pPr>
      <w:r>
        <w:t>(iv)</w:t>
      </w:r>
      <w:r>
        <w:tab/>
        <w:t xml:space="preserve">Customer acknowledgment that it should not have any expectation of profits in deciding to </w:t>
      </w:r>
      <w:proofErr w:type="gramStart"/>
      <w:r>
        <w:t>enter into</w:t>
      </w:r>
      <w:proofErr w:type="gramEnd"/>
      <w:r>
        <w:t xml:space="preserve"> the CSA;</w:t>
      </w:r>
      <w:r w:rsidR="008D750B" w:rsidRPr="008D750B">
        <w:t xml:space="preserve"> </w:t>
      </w:r>
    </w:p>
    <w:p w:rsidR="008D750B" w:rsidRPr="00BA7379" w:rsidRDefault="005402ED" w:rsidP="008D750B">
      <w:pPr>
        <w:pStyle w:val="RAMPPAiparagraph"/>
      </w:pPr>
      <w:r>
        <w:t>(v)</w:t>
      </w:r>
      <w:r>
        <w:tab/>
        <w:t xml:space="preserve">Customer acknowledgment that it will only receive bill credits to the extent the Project </w:t>
      </w:r>
      <w:proofErr w:type="gramStart"/>
      <w:r>
        <w:t>actually generates</w:t>
      </w:r>
      <w:proofErr w:type="gramEnd"/>
      <w:r>
        <w:t xml:space="preserve"> Energy and Seller provides the correct Subscription Information and Bill Credit Instructions to Buyer as specified in Section 3.10; </w:t>
      </w:r>
    </w:p>
    <w:p w:rsidR="008D750B" w:rsidRPr="00BA7379" w:rsidRDefault="005402ED" w:rsidP="008D750B">
      <w:pPr>
        <w:pStyle w:val="RAMPPAiparagraph"/>
      </w:pPr>
      <w:r>
        <w:t>(vi)</w:t>
      </w:r>
      <w:r>
        <w:tab/>
        <w:t>The CSA will automatically terminate upon termination or expiration of this Agreement;</w:t>
      </w:r>
      <w:r w:rsidR="008D750B" w:rsidRPr="008D750B">
        <w:t xml:space="preserve"> </w:t>
      </w:r>
    </w:p>
    <w:p w:rsidR="008D750B" w:rsidRPr="00BA7379" w:rsidRDefault="005402ED" w:rsidP="008D750B">
      <w:pPr>
        <w:pStyle w:val="RAMPPAiparagraph"/>
      </w:pPr>
      <w:r>
        <w:t>(vii)</w:t>
      </w:r>
      <w:r>
        <w:tab/>
        <w:t>Customer acknowledgment that Buyer is not an issuer or underwriter under California or federal securities laws with respect to the Project, and that Buyer is not making an offer to sell or selling any securities whatsoever;</w:t>
      </w:r>
      <w:r w:rsidR="008D750B" w:rsidRPr="008D750B">
        <w:t xml:space="preserve"> </w:t>
      </w:r>
    </w:p>
    <w:p w:rsidR="008D750B" w:rsidRPr="00BA7379" w:rsidRDefault="005402ED" w:rsidP="008D750B">
      <w:pPr>
        <w:pStyle w:val="RAMPPAiparagraph"/>
      </w:pPr>
      <w:r>
        <w:t>(viii)</w:t>
      </w:r>
      <w:r>
        <w:tab/>
        <w:t>All disputes (including those related to bill credits) will be handled between the Seller and Customer pursuant to the dispute resolution provisions in the CSA;</w:t>
      </w:r>
      <w:r w:rsidR="008D750B" w:rsidRPr="008D750B">
        <w:t xml:space="preserve"> </w:t>
      </w:r>
    </w:p>
    <w:p w:rsidR="008D750B" w:rsidRPr="00BA7379" w:rsidRDefault="005402ED" w:rsidP="008D750B">
      <w:pPr>
        <w:pStyle w:val="RAMPPAiparagraph"/>
      </w:pPr>
      <w:r>
        <w:t>(ix)</w:t>
      </w:r>
      <w:r>
        <w:tab/>
        <w:t>Customers must enroll with Buyer’s E-ECR Tariff as a condition to being eligible to receive bill credits;</w:t>
      </w:r>
      <w:r w:rsidR="008D750B" w:rsidRPr="008D750B">
        <w:t xml:space="preserve"> </w:t>
      </w:r>
    </w:p>
    <w:p w:rsidR="008D750B" w:rsidRPr="00BA7379" w:rsidRDefault="005402ED" w:rsidP="008D750B">
      <w:pPr>
        <w:pStyle w:val="RAMPPAiparagraph"/>
      </w:pPr>
      <w:r>
        <w:t>(x)</w:t>
      </w:r>
      <w:r>
        <w:tab/>
        <w:t>Customers must un-enroll from Buyer’s E-ECR Tariff if Customer no longer wishes to subscribe to the Project; Customers cannot transfer their Subscriptions to other parties;</w:t>
      </w:r>
      <w:r w:rsidR="008D750B" w:rsidRPr="008D750B">
        <w:t xml:space="preserve"> </w:t>
      </w:r>
    </w:p>
    <w:p w:rsidR="008D750B" w:rsidRPr="00BA7379" w:rsidRDefault="005402ED" w:rsidP="008D750B">
      <w:pPr>
        <w:pStyle w:val="RAMPPAiparagraph"/>
      </w:pPr>
      <w:r>
        <w:t>(xi)</w:t>
      </w:r>
      <w:r>
        <w:tab/>
        <w:t>Customers may not subscribe for more than one hundred and twenty percent (120%) of their forecasted annual load, as reasonably determined by Buyer based on historical usage data;</w:t>
      </w:r>
      <w:r w:rsidR="008D750B" w:rsidRPr="008D750B">
        <w:t xml:space="preserve"> </w:t>
      </w:r>
    </w:p>
    <w:p w:rsidR="008D750B" w:rsidRPr="00BA7379" w:rsidRDefault="005402ED" w:rsidP="008D750B">
      <w:pPr>
        <w:pStyle w:val="RAMPPAiparagraph"/>
      </w:pPr>
      <w:r>
        <w:t>(xii)</w:t>
      </w:r>
      <w:r>
        <w:tab/>
        <w:t>Customer Subscription payments to Seller, if any, are refundable until the Commercial Operation Date has been achieved, and Customer subscriptions are portable within Buyer’s territory upon the Execution Date;</w:t>
      </w:r>
      <w:r w:rsidR="008D750B" w:rsidRPr="008D750B">
        <w:t xml:space="preserve"> </w:t>
      </w:r>
    </w:p>
    <w:p w:rsidR="008D750B" w:rsidRPr="00BA7379" w:rsidRDefault="005402ED" w:rsidP="008D750B">
      <w:pPr>
        <w:pStyle w:val="RAMPPAiparagraph"/>
      </w:pPr>
      <w:r>
        <w:lastRenderedPageBreak/>
        <w:t>(xiii)</w:t>
      </w:r>
      <w:r>
        <w:tab/>
        <w:t xml:space="preserve">Seller shall notify Customer in the event of Seller’s imminent bankruptcy or insolvency, or if foreclosure proceedings are initiated on the Project; </w:t>
      </w:r>
    </w:p>
    <w:p w:rsidR="008D750B" w:rsidRPr="00BA7379" w:rsidRDefault="005402ED" w:rsidP="008D750B">
      <w:pPr>
        <w:pStyle w:val="RAMPPAiparagraph"/>
      </w:pPr>
      <w:r>
        <w:t>(xiv)</w:t>
      </w:r>
      <w:r>
        <w:tab/>
        <w:t>Disclosure that the Customer Subscription may be considered a “security” issued by Seller under federal or state law;</w:t>
      </w:r>
      <w:r w:rsidR="008D750B" w:rsidRPr="008D750B">
        <w:t xml:space="preserve"> </w:t>
      </w:r>
    </w:p>
    <w:p w:rsidR="008D750B" w:rsidRPr="00BA7379" w:rsidRDefault="005402ED" w:rsidP="008D750B">
      <w:pPr>
        <w:pStyle w:val="RAMPPAiparagraph"/>
      </w:pPr>
      <w:r>
        <w:t>(xv)</w:t>
      </w:r>
      <w:r>
        <w:tab/>
        <w:t>Customer is not guaranteed any energy production from the Project;</w:t>
      </w:r>
      <w:r w:rsidR="008D750B" w:rsidRPr="008D750B">
        <w:t xml:space="preserve"> </w:t>
      </w:r>
    </w:p>
    <w:p w:rsidR="008D750B" w:rsidRPr="00BA7379" w:rsidRDefault="005402ED" w:rsidP="008D750B">
      <w:pPr>
        <w:pStyle w:val="RAMPPAiparagraph"/>
      </w:pPr>
      <w:r>
        <w:t>(xvi)</w:t>
      </w:r>
      <w:r>
        <w:tab/>
        <w:t xml:space="preserve">Information describing Green-e© Energy Certification and what requirements Seller is subject to </w:t>
      </w:r>
      <w:proofErr w:type="gramStart"/>
      <w:r>
        <w:t>in order to</w:t>
      </w:r>
      <w:proofErr w:type="gramEnd"/>
      <w:r>
        <w:t xml:space="preserve"> provide Customers with Product qualifying for Green-e® Energy Certification;</w:t>
      </w:r>
      <w:r w:rsidR="008D750B" w:rsidRPr="008D750B">
        <w:t xml:space="preserve"> </w:t>
      </w:r>
    </w:p>
    <w:p w:rsidR="008D750B" w:rsidRPr="00BA7379" w:rsidRDefault="005402ED" w:rsidP="008D750B">
      <w:pPr>
        <w:pStyle w:val="RAMPPAiparagraph"/>
      </w:pPr>
      <w:r>
        <w:t>(xvii)</w:t>
      </w:r>
      <w:r>
        <w:tab/>
        <w:t>A description of Customer access rights to the Site and the Facility, if any;</w:t>
      </w:r>
      <w:r w:rsidR="008D750B" w:rsidRPr="008D750B">
        <w:t xml:space="preserve"> </w:t>
      </w:r>
    </w:p>
    <w:p w:rsidR="000C3240" w:rsidRPr="00BA7379" w:rsidRDefault="005402ED" w:rsidP="000C3240">
      <w:pPr>
        <w:pStyle w:val="RAMPPAiparagraph"/>
      </w:pPr>
      <w:r>
        <w:t>(xviii)</w:t>
      </w:r>
      <w:r>
        <w:tab/>
        <w:t>Seller and Buyer shall share Customer information amongst themselves for purposes of billing and credits, program eligibility and verifying participation and that Buyer and Seller shall maintain the confidentiality of Customer information;</w:t>
      </w:r>
      <w:r w:rsidR="000C3240" w:rsidRPr="000C3240">
        <w:t xml:space="preserve"> </w:t>
      </w:r>
    </w:p>
    <w:p w:rsidR="000C3240" w:rsidRPr="00BA7379" w:rsidRDefault="005402ED" w:rsidP="000C3240">
      <w:pPr>
        <w:pStyle w:val="RAMPPAiparagraph"/>
      </w:pPr>
      <w:r>
        <w:t>(xix)</w:t>
      </w:r>
      <w:r>
        <w:tab/>
        <w:t>Seller’s customer service department must respond to Customer inquiries within two (2) Business Days after a Customer request;</w:t>
      </w:r>
      <w:r w:rsidR="000C3240" w:rsidRPr="000C3240">
        <w:t xml:space="preserve"> </w:t>
      </w:r>
    </w:p>
    <w:p w:rsidR="000C3240" w:rsidRPr="00BA7379" w:rsidRDefault="005402ED" w:rsidP="000C3240">
      <w:pPr>
        <w:pStyle w:val="RAMPPAiparagraph"/>
      </w:pPr>
      <w:r>
        <w:t>(xx)</w:t>
      </w:r>
      <w:r>
        <w:tab/>
        <w:t>Seller shall indemnify Customers for claims arising from or related to Seller’s construction, operation or financing of the Project, including liens of any type, mortgages, stop notices, and claims for bodily injury, death or property damage or destruction;</w:t>
      </w:r>
      <w:r w:rsidR="000C3240" w:rsidRPr="000C3240">
        <w:t xml:space="preserve"> </w:t>
      </w:r>
    </w:p>
    <w:p w:rsidR="000C3240" w:rsidRPr="00BA7379" w:rsidRDefault="005402ED" w:rsidP="000C3240">
      <w:pPr>
        <w:pStyle w:val="RAMPPAiparagraph"/>
      </w:pPr>
      <w:r>
        <w:t>(xxi)</w:t>
      </w:r>
      <w:r>
        <w:tab/>
        <w:t>Seller will provide Buyer with Subscription Information and Bill Credit Instructions related to the Subscribed Capacity, and Seller shall indemnify Buyer for all related claims and billing disputes between Customer and Seller. All bill credits to Customer shall be subject to set-off and counterclaim by Buyer under Seller’s power purchase agreement with Buyer;</w:t>
      </w:r>
      <w:r w:rsidR="000C3240" w:rsidRPr="000C3240">
        <w:t xml:space="preserve"> </w:t>
      </w:r>
    </w:p>
    <w:p w:rsidR="000C3240" w:rsidRPr="00BA7379" w:rsidRDefault="005402ED" w:rsidP="000C3240">
      <w:pPr>
        <w:pStyle w:val="RAMPPAiparagraph"/>
      </w:pPr>
      <w:r>
        <w:t>(xxii)</w:t>
      </w:r>
      <w:r>
        <w:tab/>
        <w:t xml:space="preserve">A Seller transfer or sale of the Project to another entity will be subject to Buyer’s consent and the transferee must (A) accept all of Seller’s obligations under the power purchase agreement between Buyer and Seller, including all duties, liabilities and indemnities, and (B) either </w:t>
      </w:r>
      <w:proofErr w:type="gramStart"/>
      <w:r>
        <w:t>enter into</w:t>
      </w:r>
      <w:proofErr w:type="gramEnd"/>
      <w:r>
        <w:t xml:space="preserve"> new CSAs containing same terms and conditions as the original CSAs with existing Customers, or accept assignment of the existing CSAs with existing Customers. In addition, Seller shall provide Customers with notice of any such transfer or sale of the Project;</w:t>
      </w:r>
      <w:r w:rsidR="000C3240" w:rsidRPr="000C3240">
        <w:t xml:space="preserve"> </w:t>
      </w:r>
    </w:p>
    <w:p w:rsidR="000C3240" w:rsidRPr="00BA7379" w:rsidRDefault="005402ED" w:rsidP="000C3240">
      <w:pPr>
        <w:pStyle w:val="RAMPPAiparagraph"/>
      </w:pPr>
      <w:r>
        <w:t>(xxiii)</w:t>
      </w:r>
      <w:r>
        <w:tab/>
        <w:t>Seller shall notify Customers of any proposed modifications to the Project and provide Customers adequate time to withdraw their Subscription to the Project, subject to any applicable termination provisions in the E-ECR Tariff, due to any such proposed modifications;</w:t>
      </w:r>
      <w:r w:rsidR="000C3240" w:rsidRPr="000C3240">
        <w:t xml:space="preserve"> </w:t>
      </w:r>
    </w:p>
    <w:p w:rsidR="000C3240" w:rsidRPr="00BA7379" w:rsidRDefault="005402ED" w:rsidP="000C3240">
      <w:pPr>
        <w:pStyle w:val="RAMPPAiparagraph"/>
      </w:pPr>
      <w:r>
        <w:t>(xxiv)</w:t>
      </w:r>
      <w:r>
        <w:tab/>
        <w:t>A Customer’s minimum Subscription must be projected to be an amount of energy per year equal to or greater than: (A) 100 kWh per month on average, calculated on an annual basis or (B) twenty five percent (25%) of such Customer’s load;</w:t>
      </w:r>
      <w:r w:rsidR="000C3240" w:rsidRPr="000C3240">
        <w:t xml:space="preserve"> </w:t>
      </w:r>
    </w:p>
    <w:p w:rsidR="000C3240" w:rsidRPr="00BA7379" w:rsidRDefault="005402ED" w:rsidP="000C3240">
      <w:pPr>
        <w:pStyle w:val="RAMPPAiparagraph"/>
      </w:pPr>
      <w:r>
        <w:t>(xxv)</w:t>
      </w:r>
      <w:r>
        <w:tab/>
        <w:t xml:space="preserve">Within sixty (60) days after the Commercial Operation Date, Seller must provide completed Disclosure Documents and a statement that Seller is required by its Green-e® Energy Certification to provide updated Disclosure Documents to Customer on an annual basis; </w:t>
      </w:r>
    </w:p>
    <w:p w:rsidR="008D750B" w:rsidRPr="00BA7379" w:rsidRDefault="005402ED" w:rsidP="008D750B">
      <w:pPr>
        <w:pStyle w:val="RAMPPAiparagraph"/>
      </w:pPr>
      <w:r>
        <w:lastRenderedPageBreak/>
        <w:t>(xxvi)</w:t>
      </w:r>
      <w:r>
        <w:tab/>
        <w:t>Seller will not make any statements or representations in the CSA or its marketing materials implying that renewable energy is being used or delivered to anyone unless Seller knows that Renewable Energy Credit ownership supports such statements;</w:t>
      </w:r>
      <w:r w:rsidR="008D750B" w:rsidRPr="008D750B">
        <w:t xml:space="preserve"> </w:t>
      </w:r>
    </w:p>
    <w:p w:rsidR="008D750B" w:rsidRPr="00BA7379" w:rsidRDefault="005402ED" w:rsidP="008D750B">
      <w:pPr>
        <w:pStyle w:val="RAMPPAiparagraph"/>
      </w:pPr>
      <w:r>
        <w:t>(xxvii)</w:t>
      </w:r>
      <w:r>
        <w:tab/>
        <w:t>Seller representation that any electricity, stripped of Renewable Energy Credits is null power and no longer renewable and that, due to change of law provisions in the power purchase agreement between Buyer and Seller, power delivered may cease to be renewable;</w:t>
      </w:r>
      <w:r w:rsidR="008D750B" w:rsidRPr="008D750B">
        <w:t xml:space="preserve"> </w:t>
      </w:r>
    </w:p>
    <w:p w:rsidR="000C3240" w:rsidRPr="00BA7379" w:rsidRDefault="005402ED" w:rsidP="000C3240">
      <w:pPr>
        <w:pStyle w:val="RAMPPAiparagraph"/>
      </w:pPr>
      <w:r>
        <w:t>(xxviii)</w:t>
      </w:r>
      <w:r>
        <w:tab/>
        <w:t xml:space="preserve">Seller covenants not to claim the Renewable Energy Credits associated with any Delivered Energy; </w:t>
      </w:r>
    </w:p>
    <w:p w:rsidR="000C3240" w:rsidRPr="00BA7379" w:rsidRDefault="005402ED" w:rsidP="000C3240">
      <w:pPr>
        <w:pStyle w:val="RAMPPAiparagraph"/>
      </w:pPr>
      <w:r>
        <w:t>(xxix)</w:t>
      </w:r>
      <w:r>
        <w:tab/>
        <w:t>Seller obligation regarding transfer and chain of custody of Renewable Energy Credits;</w:t>
      </w:r>
      <w:r w:rsidR="000C3240" w:rsidRPr="000C3240">
        <w:t xml:space="preserve"> </w:t>
      </w:r>
    </w:p>
    <w:p w:rsidR="000C3240" w:rsidRPr="00BA7379" w:rsidRDefault="005402ED" w:rsidP="000C3240">
      <w:pPr>
        <w:pStyle w:val="RAMPPAiparagraph"/>
      </w:pPr>
      <w:r>
        <w:t>(xxx)</w:t>
      </w:r>
      <w:r>
        <w:tab/>
        <w:t>Seller shall provide Customer notice of any direct change of control of Seller (whether voluntary or by operation of Law); and</w:t>
      </w:r>
    </w:p>
    <w:p w:rsidR="000C3240" w:rsidRPr="00BA7379" w:rsidRDefault="005402ED" w:rsidP="000C3240">
      <w:pPr>
        <w:pStyle w:val="RAMPPAiparagraph"/>
      </w:pPr>
      <w:r>
        <w:t>(xxxi)</w:t>
      </w:r>
      <w:r>
        <w:tab/>
        <w:t xml:space="preserve">Seller shall disclose to Customers </w:t>
      </w:r>
      <w:proofErr w:type="gramStart"/>
      <w:r>
        <w:t>whether or not</w:t>
      </w:r>
      <w:proofErr w:type="gramEnd"/>
      <w:r>
        <w:t xml:space="preserve"> Seller will pursue Full Capacity Deliverability Status for the Project and the effects of achieving or not achieving Full Capacity Deliverability Status on the amount Customers will receive in bill credits.</w:t>
      </w:r>
      <w:r w:rsidR="000C3240" w:rsidRPr="000C3240">
        <w:t xml:space="preserve"> </w:t>
      </w:r>
    </w:p>
    <w:p w:rsidR="005402ED" w:rsidRDefault="005402ED" w:rsidP="000C3240">
      <w:pPr>
        <w:pStyle w:val="RAMPPAaparagraph"/>
      </w:pPr>
      <w:r>
        <w:t>(s)</w:t>
      </w:r>
      <w:r>
        <w:tab/>
      </w:r>
      <w:r w:rsidRPr="000C3240">
        <w:rPr>
          <w:u w:val="single"/>
        </w:rPr>
        <w:t>Green-e® Energy Certification</w:t>
      </w:r>
      <w:r>
        <w:t xml:space="preserve">. </w:t>
      </w:r>
    </w:p>
    <w:p w:rsidR="000C3240" w:rsidRPr="000C3240" w:rsidRDefault="005402ED" w:rsidP="000C3240">
      <w:pPr>
        <w:pStyle w:val="RAMPPAiparagraph"/>
      </w:pPr>
      <w:r>
        <w:t>(i)</w:t>
      </w:r>
      <w:r>
        <w:tab/>
        <w:t xml:space="preserve">As of the Effective Date, Seller represents and warrants that (A) the Project is eligible for Green-e® Energy Certification and (B) the WREGIS Certificates associated with the Renewable Energy Credits corresponding to Delivered Energy have not been separately sold, separately marketed or otherwise separately represented by Seller or its Affiliates as renewable energy attributable to the Project other than to Buyer. </w:t>
      </w:r>
    </w:p>
    <w:p w:rsidR="000C3240" w:rsidRPr="00BA7379" w:rsidRDefault="005402ED" w:rsidP="000C3240">
      <w:pPr>
        <w:pStyle w:val="RAMPPAiparagraph"/>
      </w:pPr>
      <w:r>
        <w:t>(ii)</w:t>
      </w:r>
      <w:r>
        <w:tab/>
        <w:t>From the Execution Date, and for the duration of the Delivery Term, Seller covenants that it shall, at its sole expense, take all actions, including complying with all applicable registration, attestation, eligibility, auditing, and reporting requirements, and execute all documents or instruments necessary (A) to be eligible for and maintain the Green-e® Energy Certification during the Delivery Term, and (B) to enable Buyer to meet its obligation for an ECR Program with Green-e® Energy Certification during the Delivery Term.</w:t>
      </w:r>
      <w:r w:rsidR="000C3240" w:rsidRPr="000C3240">
        <w:t xml:space="preserve"> </w:t>
      </w:r>
    </w:p>
    <w:p w:rsidR="000C3240" w:rsidRPr="00BA7379" w:rsidRDefault="005402ED" w:rsidP="000C3240">
      <w:pPr>
        <w:pStyle w:val="RAMPPAiparagraph"/>
      </w:pPr>
      <w:r>
        <w:t>(iii)</w:t>
      </w:r>
      <w:r>
        <w:tab/>
      </w:r>
      <w:r w:rsidRPr="00B04B95">
        <w:rPr>
          <w:u w:val="single"/>
        </w:rPr>
        <w:t>Seller Compliance with Green-e® Energy Certification Requirements for Marketing and CSAs</w:t>
      </w:r>
      <w:r>
        <w:t>.  Throughout the Term, surviving the expiration of the Agreement as provided in Section 2.6(b), Seller must comply with Green-e® Energy Certification eligibility criteria and requirements in its marketing materials and the CSA.  Upon request, Seller must disclose requested information to the Buyer and/or CRS for Green-e® Energy Certification, including but not limited to:</w:t>
      </w:r>
      <w:r w:rsidR="000C3240" w:rsidRPr="000C3240">
        <w:t xml:space="preserve"> </w:t>
      </w:r>
    </w:p>
    <w:p w:rsidR="000C3240" w:rsidRPr="00BA7379" w:rsidRDefault="005402ED" w:rsidP="000C3240">
      <w:pPr>
        <w:pStyle w:val="RAMPPAAparagraph0"/>
      </w:pPr>
      <w:r>
        <w:t>(A)</w:t>
      </w:r>
      <w:r>
        <w:tab/>
        <w:t>agreeing to provide resources having Green-e® Energy Certification to all Customers;</w:t>
      </w:r>
      <w:r w:rsidR="000C3240" w:rsidRPr="00BA7379">
        <w:t xml:space="preserve"> </w:t>
      </w:r>
    </w:p>
    <w:p w:rsidR="000C3240" w:rsidRPr="00BA7379" w:rsidRDefault="005402ED" w:rsidP="000C3240">
      <w:pPr>
        <w:pStyle w:val="RAMPPAAparagraph0"/>
      </w:pPr>
      <w:r>
        <w:t>(B)</w:t>
      </w:r>
      <w:r>
        <w:tab/>
        <w:t>agreeing to abide by Green-e® Energy Certification requirements and best practices as specified on the CRS website;</w:t>
      </w:r>
      <w:r w:rsidR="000C3240" w:rsidRPr="00BA7379">
        <w:t xml:space="preserve"> </w:t>
      </w:r>
    </w:p>
    <w:p w:rsidR="000C3240" w:rsidRPr="00BA7379" w:rsidRDefault="005402ED" w:rsidP="000C3240">
      <w:pPr>
        <w:pStyle w:val="RAMPPAAparagraph0"/>
      </w:pPr>
      <w:r>
        <w:t>(C)</w:t>
      </w:r>
      <w:r>
        <w:tab/>
        <w:t xml:space="preserve">ensuring that all marketing of and disclosures relating to the Project is accurate and in compliance with the FTC and the FTC Green Guides, the ECR Program, E-ECR </w:t>
      </w:r>
      <w:r>
        <w:lastRenderedPageBreak/>
        <w:t>Tariff and Green-e® Energy Certification requirements, the CPUC’s CCA Code of Conduct decision (D.12-12-036), and best practices;</w:t>
      </w:r>
      <w:r w:rsidR="000C3240" w:rsidRPr="00BA7379">
        <w:t xml:space="preserve"> </w:t>
      </w:r>
    </w:p>
    <w:p w:rsidR="000C3240" w:rsidRPr="00BA7379" w:rsidRDefault="005402ED" w:rsidP="000C3240">
      <w:pPr>
        <w:pStyle w:val="RAMPPAAparagraph0"/>
      </w:pPr>
      <w:r>
        <w:t>(D)</w:t>
      </w:r>
      <w:r>
        <w:tab/>
        <w:t xml:space="preserve">maintaining a webpage with disclosures about the Project, Seller’s customer service contact information, and links to both Buyer’s </w:t>
      </w:r>
      <w:r w:rsidR="00795CA7">
        <w:t xml:space="preserve">RRC </w:t>
      </w:r>
      <w:r>
        <w:t>webpage and the CRS website;</w:t>
      </w:r>
      <w:r w:rsidR="000C3240" w:rsidRPr="00BA7379">
        <w:t xml:space="preserve"> </w:t>
      </w:r>
    </w:p>
    <w:p w:rsidR="000C3240" w:rsidRPr="00BA7379" w:rsidRDefault="005402ED" w:rsidP="000C3240">
      <w:pPr>
        <w:pStyle w:val="RAMPPAAparagraph0"/>
      </w:pPr>
      <w:r>
        <w:t>(E)</w:t>
      </w:r>
      <w:r>
        <w:tab/>
        <w:t>completed Disclosure Documents to each potential Customer prior to signing CSA with a Customer and in a welcome packet distributed</w:t>
      </w:r>
      <w:r w:rsidR="00C21AC6">
        <w:t xml:space="preserve"> </w:t>
      </w:r>
      <w:r>
        <w:t>sixty (60) days prior to the Commercial Operation Date and annually thereafter (and in each case with a copy to Buyer), along with a statement that such Disclosure Documents are required by Green-e® Energy, which shall include, without limitation: (I) amount of energy, in kWh, that Customer has been provided from the Project; (II) price per kW or kWh; (III) kW or kWh contracted for (option to also include percentage of Facility’s output); (IV) the Term; (V) renewable resource mix; (VI) Facility location; (VII) Seller’s contact information; (VIII) disclaimer stating that capacity does not guarantee a certain amount of output and output may vary (if selling in kW); (IX) include an estimated output in kWh for each Customer’s Subscription (if selling in kW); (X) include the average kW needed to power a home in the region (if selling in kW); (XI) Seller’s customer service contact information; (XII) link to Buyer’s CR webpage; (XIII) all terms and conditions of Customer’s Subscription; (XIV) statement that these disclosures are required by Green-e® Energy and information about Green-e® Energy Certification and link to the CRS’s website: www.green-e.org/energy; and</w:t>
      </w:r>
      <w:r w:rsidR="000C3240" w:rsidRPr="00BA7379">
        <w:t xml:space="preserve"> </w:t>
      </w:r>
    </w:p>
    <w:p w:rsidR="000C3240" w:rsidRPr="00BA7379" w:rsidRDefault="005402ED" w:rsidP="000C3240">
      <w:pPr>
        <w:pStyle w:val="RAMPPAAparagraph0"/>
      </w:pPr>
      <w:r>
        <w:t>(F)</w:t>
      </w:r>
      <w:r>
        <w:tab/>
        <w:t>Seller to provide all forms, disclosure and other information to Buyer or its auditors for annual verification and audit.”</w:t>
      </w:r>
      <w:r w:rsidR="000C3240" w:rsidRPr="00BA7379">
        <w:t xml:space="preserve"> </w:t>
      </w:r>
    </w:p>
    <w:p w:rsidR="003B70AD" w:rsidRPr="00FB74EA" w:rsidRDefault="003B70AD" w:rsidP="00FB74EA"/>
    <w:p w:rsidR="002C2D84" w:rsidRDefault="002C2D84" w:rsidP="003B70AD">
      <w:pPr>
        <w:sectPr w:rsidR="002C2D84">
          <w:pgSz w:w="12240" w:h="15840"/>
          <w:pgMar w:top="1440" w:right="1440" w:bottom="1440" w:left="1440" w:header="720" w:footer="720" w:gutter="0"/>
          <w:cols w:space="720"/>
          <w:docGrid w:linePitch="360"/>
        </w:sectPr>
      </w:pPr>
    </w:p>
    <w:p w:rsidR="00440B95" w:rsidRPr="003B70AD" w:rsidRDefault="002C2D84" w:rsidP="002C2D84">
      <w:pPr>
        <w:jc w:val="center"/>
        <w:rPr>
          <w:b/>
          <w:sz w:val="24"/>
          <w:szCs w:val="24"/>
        </w:rPr>
      </w:pPr>
      <w:r w:rsidRPr="003B70AD">
        <w:rPr>
          <w:b/>
          <w:sz w:val="24"/>
          <w:szCs w:val="24"/>
        </w:rPr>
        <w:lastRenderedPageBreak/>
        <w:t xml:space="preserve">Attachment </w:t>
      </w:r>
      <w:r w:rsidR="005402ED">
        <w:rPr>
          <w:b/>
          <w:sz w:val="24"/>
          <w:szCs w:val="24"/>
        </w:rPr>
        <w:t>2</w:t>
      </w:r>
      <w:r w:rsidRPr="003B70AD">
        <w:rPr>
          <w:b/>
          <w:sz w:val="24"/>
          <w:szCs w:val="24"/>
        </w:rPr>
        <w:t xml:space="preserve"> to </w:t>
      </w:r>
      <w:r w:rsidR="00795CA7">
        <w:rPr>
          <w:b/>
          <w:sz w:val="24"/>
          <w:szCs w:val="24"/>
        </w:rPr>
        <w:t>RRC</w:t>
      </w:r>
      <w:r w:rsidRPr="003B70AD">
        <w:rPr>
          <w:b/>
          <w:sz w:val="24"/>
          <w:szCs w:val="24"/>
        </w:rPr>
        <w:t xml:space="preserve"> Rider and Amendment</w:t>
      </w:r>
    </w:p>
    <w:p w:rsidR="00440B95" w:rsidRPr="002C2D84" w:rsidRDefault="002C2D84" w:rsidP="002C2D84">
      <w:pPr>
        <w:rPr>
          <w:b/>
          <w:i/>
        </w:rPr>
      </w:pPr>
      <w:r w:rsidRPr="002C2D84">
        <w:rPr>
          <w:b/>
          <w:i/>
        </w:rPr>
        <w:t xml:space="preserve">[Please refer to Section </w:t>
      </w:r>
      <w:r w:rsidR="008D750B">
        <w:rPr>
          <w:b/>
          <w:i/>
        </w:rPr>
        <w:t>II.</w:t>
      </w:r>
      <w:r w:rsidR="00DB1696">
        <w:rPr>
          <w:b/>
          <w:i/>
        </w:rPr>
        <w:t>19</w:t>
      </w:r>
      <w:r w:rsidR="008D750B">
        <w:rPr>
          <w:b/>
          <w:i/>
        </w:rPr>
        <w:t>.</w:t>
      </w:r>
      <w:r w:rsidRPr="002C2D84">
        <w:rPr>
          <w:b/>
          <w:i/>
        </w:rPr>
        <w:t xml:space="preserve"> of the </w:t>
      </w:r>
      <w:r w:rsidR="00795CA7">
        <w:rPr>
          <w:b/>
          <w:i/>
        </w:rPr>
        <w:t>RRC</w:t>
      </w:r>
      <w:r w:rsidRPr="002C2D84">
        <w:rPr>
          <w:b/>
          <w:i/>
        </w:rPr>
        <w:t xml:space="preserve"> Rider and Amendment regarding the use of this Attachment.]</w:t>
      </w:r>
    </w:p>
    <w:p w:rsidR="002C2D84" w:rsidRPr="002C2D84" w:rsidRDefault="00C85BBF" w:rsidP="002C2D84">
      <w:pPr>
        <w:keepNext/>
        <w:keepLines/>
        <w:jc w:val="center"/>
        <w:outlineLvl w:val="0"/>
        <w:rPr>
          <w:rFonts w:eastAsia="Times New Roman" w:cs="Times New Roman"/>
          <w:bCs/>
        </w:rPr>
      </w:pPr>
      <w:r>
        <w:rPr>
          <w:rFonts w:eastAsia="Times New Roman" w:cs="Times New Roman"/>
          <w:b/>
          <w:bCs/>
          <w:caps/>
          <w:szCs w:val="32"/>
        </w:rPr>
        <w:t>“</w:t>
      </w:r>
      <w:r w:rsidR="002C2D84" w:rsidRPr="002C2D84">
        <w:rPr>
          <w:rFonts w:eastAsia="Times New Roman" w:cs="Times New Roman"/>
          <w:b/>
          <w:bCs/>
          <w:caps/>
          <w:szCs w:val="32"/>
        </w:rPr>
        <w:t>ARTICLE SIX:  PAYMENT</w:t>
      </w:r>
    </w:p>
    <w:p w:rsidR="00B44019" w:rsidRDefault="009C4679" w:rsidP="002C2D84">
      <w:pPr>
        <w:ind w:firstLine="720"/>
        <w:rPr>
          <w:rFonts w:eastAsia="Times New Roman" w:cs="Times New Roman"/>
        </w:rPr>
      </w:pPr>
      <w:r w:rsidRPr="009C4679">
        <w:rPr>
          <w:rFonts w:eastAsia="Times New Roman" w:cs="Times New Roman"/>
        </w:rPr>
        <w:t>6.1</w:t>
      </w:r>
      <w:r w:rsidRPr="009C4679">
        <w:rPr>
          <w:rFonts w:eastAsia="Times New Roman" w:cs="Times New Roman"/>
        </w:rPr>
        <w:tab/>
      </w:r>
      <w:r w:rsidRPr="00B44019">
        <w:rPr>
          <w:rFonts w:eastAsia="Times New Roman" w:cs="Times New Roman"/>
          <w:u w:val="single"/>
        </w:rPr>
        <w:t>Billing and Payment; Remedies</w:t>
      </w:r>
      <w:r w:rsidRPr="009C4679">
        <w:rPr>
          <w:rFonts w:eastAsia="Times New Roman" w:cs="Times New Roman"/>
        </w:rPr>
        <w:t xml:space="preserve">.  On or about the tenth (10th) day of each month beginning with the second month of either the Test Period or the first Contract Year, whichever occurs first,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the CAISO, necessary to verify the accuracy or amount of any Reductions; and (c) an invoice, in the format specified by Buyer, indicating the payments associated with the Unsubscribed Delivered Energy and covering the services provided in the preceding month determined in accordance with the applicable provisions of this Agreement.  Seller shall continue to provide to Buyer an invoice of CAISO charges, net any sums Buyer owes Seller under this Agreement, on or about the tenth (10th) day of each month until the date of the Final True-Up.  Buyer shall pay Seller and credit Seller’s Customers in accordance with this Article </w:t>
      </w:r>
      <w:r w:rsidR="00B44019">
        <w:rPr>
          <w:rFonts w:eastAsia="Times New Roman" w:cs="Times New Roman"/>
        </w:rPr>
        <w:t>Six</w:t>
      </w:r>
      <w:r w:rsidRPr="009C4679">
        <w:rPr>
          <w:rFonts w:eastAsia="Times New Roman" w:cs="Times New Roman"/>
        </w:rPr>
        <w:t xml:space="preserve"> and in accordance with approved, accurate and undisputed Subscription Information and Bill Credit Instructions for the undisputed amount of such invoices less the amount of any RA Deficiency Amount and the amount of any Forecasting Penalties, as applicable on or before the last Business Day of the second month from which Buyer receives an invoice from Seller.  If either the invoice date or payment date is not a Business Day, then such invoice or payment shall be provided on the next following Business Day.  During the Test Period, and for twelve (12) months following the Test Period only, Buyer shall provide to Seller a statement of the CAISO Revenues and any true-ups of CAISO Revenues from prior months and Buyer shall forward to Seller the CAISO Revenues from such statement, according to the invoice and payment schedules described in this Section 6.1.  Each Party will make payments by electronic funds transfer via automated clearing house, or by other mutually agreeable method(s), to the account designated by the other Party.  Any undisputed amounts not paid by the due date will be deemed delinquent and will accrue interest at the Interest Rate, such interest to be calculated from and including the due date to but excluding the date the delinquent amount is paid in full.  Invoices may be sent by facsimile or e-mail.  Buyer shall make payment of each undisputed invoice related to the Unsubscribed Capacity directly to Seller.  Buyer and Seller acknowledge that payment to Seller under this Agreement of each undisputed invoice related to the Subscribed Delivered Energy shall be made by Buyer in the form of bill credits to Customers in accordance with the Seller’s Subscription Information and Bill Credit Instructions, and Seller hereby assigns payment for Subscribed Energy to its Customers and any right to receive all such payments in respect of Subscribed Delivered Energy to such Customers. Any amounts owed by Seller under this Agreement, including under Section 4.6, shall not be included in Seller’s Subscription Information and Bill Credit Instructions, but shall be included in amounts payable directly to or from Seller.</w:t>
      </w:r>
    </w:p>
    <w:p w:rsidR="002C2D84" w:rsidRPr="002C2D84" w:rsidRDefault="002C2D84" w:rsidP="002C2D84">
      <w:pPr>
        <w:ind w:firstLine="720"/>
        <w:rPr>
          <w:rFonts w:eastAsia="Times New Roman" w:cs="Times New Roman"/>
        </w:rPr>
      </w:pPr>
      <w:r w:rsidRPr="002C2D84">
        <w:rPr>
          <w:rFonts w:eastAsia="Times New Roman" w:cs="Times New Roman"/>
        </w:rPr>
        <w:t>6.2</w:t>
      </w:r>
      <w:r w:rsidRPr="002C2D84">
        <w:rPr>
          <w:rFonts w:eastAsia="Times New Roman" w:cs="Times New Roman"/>
        </w:rPr>
        <w:tab/>
      </w:r>
      <w:r w:rsidR="00B44019" w:rsidRPr="00B44019">
        <w:rPr>
          <w:rFonts w:eastAsia="Times New Roman" w:cs="Times New Roman"/>
          <w:u w:val="single"/>
        </w:rPr>
        <w:t>Disputes and Adjustments of Invoices</w:t>
      </w:r>
      <w:r w:rsidR="00B44019" w:rsidRPr="00B44019">
        <w:rPr>
          <w:rFonts w:eastAsia="Times New Roman" w:cs="Times New Roman"/>
        </w:rPr>
        <w:t xml:space="preserve">.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Subject to Section 3.6, in the event adjustments to payments are required </w:t>
      </w:r>
      <w:proofErr w:type="gramStart"/>
      <w:r w:rsidR="00B44019" w:rsidRPr="00B44019">
        <w:rPr>
          <w:rFonts w:eastAsia="Times New Roman" w:cs="Times New Roman"/>
        </w:rPr>
        <w:t>as a result of</w:t>
      </w:r>
      <w:proofErr w:type="gramEnd"/>
      <w:r w:rsidR="00B44019" w:rsidRPr="00B44019">
        <w:rPr>
          <w:rFonts w:eastAsia="Times New Roman" w:cs="Times New Roman"/>
        </w:rPr>
        <w:t xml:space="preserve"> inaccurate meter(s), Buyer shall use corrected measurements to </w:t>
      </w:r>
      <w:proofErr w:type="spellStart"/>
      <w:r w:rsidR="00B44019" w:rsidRPr="00B44019">
        <w:rPr>
          <w:rFonts w:eastAsia="Times New Roman" w:cs="Times New Roman"/>
        </w:rPr>
        <w:t>recompute</w:t>
      </w:r>
      <w:proofErr w:type="spellEnd"/>
      <w:r w:rsidR="00B44019" w:rsidRPr="00B44019">
        <w:rPr>
          <w:rFonts w:eastAsia="Times New Roman" w:cs="Times New Roman"/>
        </w:rPr>
        <w:t xml:space="preserve"> the amount due from Buyer to Seller for the Product delivered under the Transaction during the period of inaccuracy.  The Parties agree to use good faith efforts to resolve the dispute or identify the adjustment as soon as possible.  Upon resolution of the dispute or calculation of the adjustment, any required payment or bill credit shall be made within fifteen (15) days of </w:t>
      </w:r>
      <w:r w:rsidR="00B44019" w:rsidRPr="00B44019">
        <w:rPr>
          <w:rFonts w:eastAsia="Times New Roman" w:cs="Times New Roman"/>
        </w:rPr>
        <w:lastRenderedPageBreak/>
        <w:t>such resolution along with interest accrued at the Interest Rate from and including the due date, but excluding the date paid.  Inadvertent overpayments shall be returned upon request or deducted by the Party receiving such overpayment from subsequent payments, with interest accrued at the Interest Rate from and including the date of such overpayment, but excluding the date repaid or deducted by the Party receiving such overpayment.  Any dispute with respect to an invoice is waived unless the other Party is notified in accordance with this Section 6.2 within twelve (12) months after the invoice is rendered or any specific adjustment to the invoice is made; provided that, such waiver shall not apply to any adjustment or dispute related to Seller’s performance under any applicable RMR Contract; and provided further that, any disputes with respect to a statement of CAISO Revenues is waived unless Seller notifies Buyer in accordance with this Section 6.2 within one (1) month after the last statement of CAISO Revenues is provided.  If an invoice is not rendered within twelve (12) months after the close of the month during which performance under the Transaction occurred, the right to payment for such performance is waived.</w:t>
      </w:r>
    </w:p>
    <w:p w:rsidR="002C2D84" w:rsidRPr="002C2D84" w:rsidRDefault="002C2D84" w:rsidP="002C2D84">
      <w:pPr>
        <w:ind w:firstLine="720"/>
        <w:rPr>
          <w:rFonts w:eastAsia="Times New Roman" w:cs="Times New Roman"/>
        </w:rPr>
      </w:pPr>
      <w:r w:rsidRPr="002C2D84">
        <w:rPr>
          <w:rFonts w:eastAsia="Times New Roman" w:cs="Times New Roman"/>
        </w:rPr>
        <w:t>6.3</w:t>
      </w:r>
      <w:r w:rsidRPr="002C2D84">
        <w:rPr>
          <w:rFonts w:eastAsia="Times New Roman" w:cs="Times New Roman"/>
        </w:rPr>
        <w:tab/>
        <w:t xml:space="preserve">During each month of the Delivery Term, if the quotient of the average billing month Subscribed Capacity divided by the Contract Capacity is greater than the minimum Subscription level required for the corresponding billing month as specified in the table below (“Minimum Subscription Requirement”), then the </w:t>
      </w:r>
      <w:r w:rsidR="009C4679">
        <w:rPr>
          <w:rFonts w:eastAsia="Times New Roman" w:cs="Times New Roman"/>
        </w:rPr>
        <w:t>Monthly TOD P</w:t>
      </w:r>
      <w:r w:rsidRPr="002C2D84">
        <w:rPr>
          <w:rFonts w:eastAsia="Times New Roman" w:cs="Times New Roman"/>
        </w:rPr>
        <w:t xml:space="preserve">ayment related to all Delivered Energy shall be calculated using the Contract Price multiplied by the </w:t>
      </w:r>
      <w:r w:rsidR="009C4679">
        <w:rPr>
          <w:rFonts w:eastAsia="Times New Roman" w:cs="Times New Roman"/>
        </w:rPr>
        <w:t>TOD</w:t>
      </w:r>
      <w:r w:rsidRPr="002C2D84">
        <w:rPr>
          <w:rFonts w:eastAsia="Times New Roman" w:cs="Times New Roman"/>
        </w:rPr>
        <w:t xml:space="preserve"> Factor for the TOD Period being calculated as described in Section </w:t>
      </w:r>
      <w:r w:rsidR="009C4679">
        <w:rPr>
          <w:rFonts w:eastAsia="Times New Roman" w:cs="Times New Roman"/>
        </w:rPr>
        <w:t>4</w:t>
      </w:r>
      <w:r w:rsidRPr="002C2D84">
        <w:rPr>
          <w:rFonts w:eastAsia="Times New Roman" w:cs="Times New Roman"/>
        </w:rPr>
        <w:t>.4.  The payment for the Subscribed Delivered Energy shall be applied as a bill credit to Seller’s Customers and the payment for the Unsubscribed Delivered Energy, net amounts owed, shall be paid to Seller.</w:t>
      </w: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tblGrid>
      <w:tr w:rsidR="00C85BBF" w:rsidRPr="002C2D84" w:rsidTr="00C85BBF">
        <w:trPr>
          <w:tblHeader/>
        </w:trPr>
        <w:tc>
          <w:tcPr>
            <w:tcW w:w="5940" w:type="dxa"/>
            <w:gridSpan w:val="2"/>
            <w:shd w:val="clear" w:color="auto" w:fill="D9D9D9" w:themeFill="background1" w:themeFillShade="D9"/>
          </w:tcPr>
          <w:p w:rsidR="00C85BBF" w:rsidRPr="002C2D84" w:rsidRDefault="00C85BBF" w:rsidP="002C2D84">
            <w:pPr>
              <w:spacing w:before="60" w:after="60"/>
              <w:jc w:val="center"/>
              <w:outlineLvl w:val="1"/>
              <w:rPr>
                <w:rFonts w:eastAsia="Times New Roman" w:cs="Times New Roman"/>
                <w:b/>
                <w:bCs/>
                <w:iCs/>
                <w:szCs w:val="28"/>
              </w:rPr>
            </w:pPr>
            <w:r>
              <w:rPr>
                <w:rFonts w:eastAsia="Times New Roman" w:cs="Times New Roman"/>
                <w:b/>
                <w:bCs/>
                <w:iCs/>
                <w:szCs w:val="28"/>
              </w:rPr>
              <w:t>MINIMUM SUBSCRIPTION REQUIREMENT</w:t>
            </w:r>
          </w:p>
        </w:tc>
      </w:tr>
      <w:tr w:rsidR="002C2D84" w:rsidRPr="002C2D84" w:rsidTr="00C85BBF">
        <w:trPr>
          <w:tblHeader/>
        </w:trPr>
        <w:tc>
          <w:tcPr>
            <w:tcW w:w="2970" w:type="dxa"/>
            <w:shd w:val="clear" w:color="auto" w:fill="auto"/>
          </w:tcPr>
          <w:p w:rsidR="002C2D84" w:rsidRPr="002C2D84" w:rsidRDefault="002C2D84" w:rsidP="002C2D84">
            <w:pPr>
              <w:spacing w:before="60" w:after="60"/>
              <w:jc w:val="center"/>
              <w:outlineLvl w:val="1"/>
              <w:rPr>
                <w:rFonts w:eastAsia="Times New Roman" w:cs="Times New Roman"/>
                <w:b/>
                <w:bCs/>
                <w:iCs/>
                <w:szCs w:val="28"/>
              </w:rPr>
            </w:pPr>
            <w:r w:rsidRPr="002C2D84">
              <w:rPr>
                <w:rFonts w:eastAsia="Times New Roman" w:cs="Times New Roman"/>
                <w:b/>
                <w:bCs/>
                <w:iCs/>
                <w:szCs w:val="28"/>
              </w:rPr>
              <w:t>Years of Operation</w:t>
            </w:r>
          </w:p>
        </w:tc>
        <w:tc>
          <w:tcPr>
            <w:tcW w:w="2970" w:type="dxa"/>
            <w:shd w:val="clear" w:color="auto" w:fill="auto"/>
          </w:tcPr>
          <w:p w:rsidR="002C2D84" w:rsidRPr="002C2D84" w:rsidRDefault="002C2D84" w:rsidP="002C2D84">
            <w:pPr>
              <w:spacing w:before="60" w:after="60"/>
              <w:jc w:val="center"/>
              <w:outlineLvl w:val="1"/>
              <w:rPr>
                <w:rFonts w:eastAsia="Times New Roman" w:cs="Times New Roman"/>
                <w:b/>
                <w:bCs/>
                <w:iCs/>
                <w:szCs w:val="28"/>
              </w:rPr>
            </w:pPr>
            <w:r w:rsidRPr="002C2D84">
              <w:rPr>
                <w:rFonts w:eastAsia="Times New Roman" w:cs="Times New Roman"/>
                <w:b/>
                <w:bCs/>
                <w:iCs/>
                <w:szCs w:val="28"/>
              </w:rPr>
              <w:t>Minimum subscription level for purposes of calculating the Minimum Subscription Requirement</w:t>
            </w:r>
          </w:p>
        </w:tc>
      </w:tr>
      <w:tr w:rsidR="002C2D84" w:rsidRPr="002C2D84" w:rsidTr="00C1719F">
        <w:tc>
          <w:tcPr>
            <w:tcW w:w="2970" w:type="dxa"/>
            <w:shd w:val="clear" w:color="auto" w:fill="auto"/>
          </w:tcPr>
          <w:p w:rsidR="002C2D84" w:rsidRPr="002C2D84" w:rsidRDefault="002C2D84" w:rsidP="002C2D84">
            <w:pPr>
              <w:spacing w:before="60" w:after="60"/>
              <w:outlineLvl w:val="1"/>
              <w:rPr>
                <w:rFonts w:eastAsia="Times New Roman" w:cs="Times New Roman"/>
                <w:bCs/>
                <w:iCs/>
                <w:szCs w:val="28"/>
              </w:rPr>
            </w:pPr>
            <w:r w:rsidRPr="002C2D84">
              <w:rPr>
                <w:rFonts w:eastAsia="Times New Roman" w:cs="Times New Roman"/>
                <w:bCs/>
                <w:iCs/>
                <w:szCs w:val="28"/>
              </w:rPr>
              <w:t>First Contract Year</w:t>
            </w:r>
          </w:p>
        </w:tc>
        <w:tc>
          <w:tcPr>
            <w:tcW w:w="2970" w:type="dxa"/>
            <w:shd w:val="clear" w:color="auto" w:fill="auto"/>
          </w:tcPr>
          <w:p w:rsidR="002C2D84" w:rsidRPr="002C2D84" w:rsidRDefault="002C2D84" w:rsidP="002C2D84">
            <w:pPr>
              <w:spacing w:before="60" w:after="60"/>
              <w:jc w:val="center"/>
              <w:outlineLvl w:val="1"/>
              <w:rPr>
                <w:rFonts w:eastAsia="Times New Roman" w:cs="Times New Roman"/>
                <w:bCs/>
                <w:iCs/>
                <w:szCs w:val="28"/>
              </w:rPr>
            </w:pPr>
            <w:r w:rsidRPr="002C2D84">
              <w:rPr>
                <w:rFonts w:eastAsia="Times New Roman" w:cs="Times New Roman"/>
                <w:bCs/>
                <w:iCs/>
                <w:szCs w:val="28"/>
              </w:rPr>
              <w:t>45%</w:t>
            </w:r>
          </w:p>
        </w:tc>
      </w:tr>
      <w:tr w:rsidR="002C2D84" w:rsidRPr="002C2D84" w:rsidTr="00C1719F">
        <w:tc>
          <w:tcPr>
            <w:tcW w:w="2970" w:type="dxa"/>
            <w:shd w:val="clear" w:color="auto" w:fill="auto"/>
          </w:tcPr>
          <w:p w:rsidR="002C2D84" w:rsidRPr="002C2D84" w:rsidRDefault="002C2D84" w:rsidP="002C2D84">
            <w:pPr>
              <w:spacing w:before="60" w:after="60"/>
              <w:outlineLvl w:val="1"/>
              <w:rPr>
                <w:rFonts w:eastAsia="Times New Roman" w:cs="Times New Roman"/>
                <w:bCs/>
                <w:iCs/>
                <w:szCs w:val="28"/>
              </w:rPr>
            </w:pPr>
            <w:r w:rsidRPr="002C2D84">
              <w:rPr>
                <w:rFonts w:eastAsia="Times New Roman" w:cs="Times New Roman"/>
                <w:bCs/>
                <w:iCs/>
                <w:szCs w:val="28"/>
              </w:rPr>
              <w:t>Second Contract Year</w:t>
            </w:r>
          </w:p>
        </w:tc>
        <w:tc>
          <w:tcPr>
            <w:tcW w:w="2970" w:type="dxa"/>
            <w:shd w:val="clear" w:color="auto" w:fill="auto"/>
          </w:tcPr>
          <w:p w:rsidR="002C2D84" w:rsidRPr="002C2D84" w:rsidRDefault="002C2D84" w:rsidP="002C2D84">
            <w:pPr>
              <w:spacing w:before="60" w:after="60"/>
              <w:jc w:val="center"/>
              <w:outlineLvl w:val="1"/>
              <w:rPr>
                <w:rFonts w:eastAsia="Times New Roman" w:cs="Times New Roman"/>
                <w:bCs/>
                <w:iCs/>
                <w:szCs w:val="28"/>
              </w:rPr>
            </w:pPr>
            <w:r w:rsidRPr="002C2D84">
              <w:rPr>
                <w:rFonts w:eastAsia="Times New Roman" w:cs="Times New Roman"/>
                <w:bCs/>
                <w:iCs/>
                <w:szCs w:val="28"/>
              </w:rPr>
              <w:t>70%</w:t>
            </w:r>
          </w:p>
        </w:tc>
      </w:tr>
      <w:tr w:rsidR="002C2D84" w:rsidRPr="002C2D84" w:rsidTr="00C1719F">
        <w:tc>
          <w:tcPr>
            <w:tcW w:w="2970" w:type="dxa"/>
            <w:shd w:val="clear" w:color="auto" w:fill="auto"/>
          </w:tcPr>
          <w:p w:rsidR="002C2D84" w:rsidRPr="002C2D84" w:rsidRDefault="002C2D84" w:rsidP="002C2D84">
            <w:pPr>
              <w:spacing w:before="60" w:after="60"/>
              <w:outlineLvl w:val="1"/>
              <w:rPr>
                <w:rFonts w:eastAsia="Times New Roman" w:cs="Times New Roman"/>
                <w:bCs/>
                <w:iCs/>
                <w:szCs w:val="28"/>
              </w:rPr>
            </w:pPr>
            <w:r w:rsidRPr="002C2D84">
              <w:rPr>
                <w:rFonts w:eastAsia="Times New Roman" w:cs="Times New Roman"/>
                <w:bCs/>
                <w:iCs/>
                <w:szCs w:val="28"/>
              </w:rPr>
              <w:t>Third Contract Year</w:t>
            </w:r>
          </w:p>
        </w:tc>
        <w:tc>
          <w:tcPr>
            <w:tcW w:w="2970" w:type="dxa"/>
            <w:shd w:val="clear" w:color="auto" w:fill="auto"/>
          </w:tcPr>
          <w:p w:rsidR="002C2D84" w:rsidRPr="002C2D84" w:rsidRDefault="002C2D84" w:rsidP="002C2D84">
            <w:pPr>
              <w:spacing w:before="60" w:after="60"/>
              <w:jc w:val="center"/>
              <w:outlineLvl w:val="1"/>
              <w:rPr>
                <w:rFonts w:eastAsia="Times New Roman" w:cs="Times New Roman"/>
                <w:bCs/>
                <w:iCs/>
                <w:szCs w:val="28"/>
              </w:rPr>
            </w:pPr>
            <w:r w:rsidRPr="002C2D84">
              <w:rPr>
                <w:rFonts w:eastAsia="Times New Roman" w:cs="Times New Roman"/>
                <w:bCs/>
                <w:iCs/>
                <w:szCs w:val="28"/>
              </w:rPr>
              <w:t>90%</w:t>
            </w:r>
          </w:p>
        </w:tc>
      </w:tr>
      <w:tr w:rsidR="002C2D84" w:rsidRPr="002C2D84" w:rsidTr="00C1719F">
        <w:tc>
          <w:tcPr>
            <w:tcW w:w="2970" w:type="dxa"/>
            <w:shd w:val="clear" w:color="auto" w:fill="auto"/>
          </w:tcPr>
          <w:p w:rsidR="002C2D84" w:rsidRPr="002C2D84" w:rsidRDefault="002C2D84" w:rsidP="002C2D84">
            <w:pPr>
              <w:spacing w:before="60" w:after="60"/>
              <w:outlineLvl w:val="1"/>
              <w:rPr>
                <w:rFonts w:eastAsia="Times New Roman" w:cs="Times New Roman"/>
                <w:bCs/>
                <w:iCs/>
                <w:szCs w:val="28"/>
              </w:rPr>
            </w:pPr>
            <w:r w:rsidRPr="002C2D84">
              <w:rPr>
                <w:rFonts w:eastAsia="Times New Roman" w:cs="Times New Roman"/>
                <w:bCs/>
                <w:iCs/>
                <w:szCs w:val="28"/>
              </w:rPr>
              <w:t>Remaining Delivery Term</w:t>
            </w:r>
          </w:p>
        </w:tc>
        <w:tc>
          <w:tcPr>
            <w:tcW w:w="2970" w:type="dxa"/>
            <w:shd w:val="clear" w:color="auto" w:fill="auto"/>
          </w:tcPr>
          <w:p w:rsidR="002C2D84" w:rsidRPr="002C2D84" w:rsidRDefault="002C2D84" w:rsidP="002C2D84">
            <w:pPr>
              <w:spacing w:before="60" w:after="60"/>
              <w:jc w:val="center"/>
              <w:outlineLvl w:val="1"/>
              <w:rPr>
                <w:rFonts w:eastAsia="Times New Roman" w:cs="Times New Roman"/>
                <w:bCs/>
                <w:iCs/>
                <w:szCs w:val="28"/>
              </w:rPr>
            </w:pPr>
            <w:r w:rsidRPr="002C2D84">
              <w:rPr>
                <w:rFonts w:eastAsia="Times New Roman" w:cs="Times New Roman"/>
                <w:bCs/>
                <w:iCs/>
                <w:szCs w:val="28"/>
              </w:rPr>
              <w:t>95%</w:t>
            </w:r>
          </w:p>
        </w:tc>
      </w:tr>
    </w:tbl>
    <w:p w:rsidR="002C2D84" w:rsidRPr="002C2D84" w:rsidRDefault="00C85BBF" w:rsidP="00C85BBF">
      <w:pPr>
        <w:spacing w:before="240"/>
        <w:ind w:firstLine="1440"/>
        <w:outlineLvl w:val="1"/>
        <w:rPr>
          <w:rFonts w:eastAsia="Times New Roman" w:cs="Times New Roman"/>
          <w:bCs/>
          <w:iCs/>
          <w:szCs w:val="28"/>
        </w:rPr>
      </w:pPr>
      <w:r w:rsidRPr="002C2D84">
        <w:rPr>
          <w:rFonts w:eastAsia="Times New Roman" w:cs="Times New Roman"/>
          <w:szCs w:val="20"/>
        </w:rPr>
        <w:t xml:space="preserve">During each month of the Delivery Term, if the quotient of the average billing month Subscribed Capacity divided by the Contract Capacity is less than the applicable Minimum Subscription Requirement, then the payment for Subscribed Delivered Energy shall be calculated using the Contract Price </w:t>
      </w:r>
      <w:r w:rsidR="009C4679">
        <w:rPr>
          <w:rFonts w:eastAsia="Times New Roman" w:cs="Times New Roman"/>
          <w:szCs w:val="20"/>
        </w:rPr>
        <w:t xml:space="preserve">as described in Section 4.4 </w:t>
      </w:r>
      <w:r w:rsidRPr="002C2D84">
        <w:rPr>
          <w:rFonts w:eastAsia="Times New Roman" w:cs="Times New Roman"/>
          <w:szCs w:val="20"/>
        </w:rPr>
        <w:t xml:space="preserve">and shall be applied as a bill credit to Customers, and the payment for Unsubscribed Delivered Energy shall be calculated using the Unsubscribed Energy Price as described in Section </w:t>
      </w:r>
      <w:r w:rsidR="009C4679">
        <w:rPr>
          <w:rFonts w:eastAsia="Times New Roman" w:cs="Times New Roman"/>
          <w:szCs w:val="20"/>
        </w:rPr>
        <w:t>4</w:t>
      </w:r>
      <w:r w:rsidRPr="002C2D84">
        <w:rPr>
          <w:rFonts w:eastAsia="Times New Roman" w:cs="Times New Roman"/>
          <w:szCs w:val="20"/>
        </w:rPr>
        <w:t>.4 and shall be paid to Seller.</w:t>
      </w:r>
    </w:p>
    <w:p w:rsidR="002C2D84" w:rsidRPr="002C2D84" w:rsidRDefault="002C2D84" w:rsidP="002C2D84">
      <w:pPr>
        <w:ind w:firstLine="720"/>
        <w:rPr>
          <w:rFonts w:eastAsia="Times New Roman" w:cs="Times New Roman"/>
        </w:rPr>
      </w:pPr>
      <w:r w:rsidRPr="002C2D84">
        <w:rPr>
          <w:rFonts w:eastAsia="Times New Roman" w:cs="Times New Roman"/>
        </w:rPr>
        <w:t>6.</w:t>
      </w:r>
      <w:r w:rsidR="009C4679">
        <w:rPr>
          <w:rFonts w:eastAsia="Times New Roman" w:cs="Times New Roman"/>
        </w:rPr>
        <w:t>4</w:t>
      </w:r>
      <w:r w:rsidRPr="002C2D84">
        <w:rPr>
          <w:rFonts w:eastAsia="Times New Roman" w:cs="Times New Roman"/>
        </w:rPr>
        <w:tab/>
        <w:t>Notwithstanding any other provision in this Agreement, Buyer is not obligated to provide a bill credit to any Customer that does not meet the requirements of this Agreement and the E-ECR Tariff or if Buyer determines, in its reasonable discretion, that the information contained in the Subscription Information and Bill Credit Instructions is incorrect.  Retroactive changes to Subscription Information and Bill Credit Instructions will not be permitted.</w:t>
      </w:r>
      <w:r w:rsidR="001B575D">
        <w:rPr>
          <w:rFonts w:eastAsia="Times New Roman" w:cs="Times New Roman"/>
        </w:rPr>
        <w:t>”</w:t>
      </w:r>
    </w:p>
    <w:p w:rsidR="002C2D84" w:rsidRPr="002C2D84" w:rsidRDefault="002C2D84" w:rsidP="002C2D84">
      <w:pPr>
        <w:ind w:firstLine="720"/>
        <w:rPr>
          <w:rFonts w:eastAsia="Times New Roman" w:cs="Times New Roman"/>
        </w:rPr>
      </w:pPr>
    </w:p>
    <w:p w:rsidR="00874A7E" w:rsidRDefault="00874A7E" w:rsidP="002C2D84">
      <w:pPr>
        <w:sectPr w:rsidR="00874A7E">
          <w:pgSz w:w="12240" w:h="15840"/>
          <w:pgMar w:top="1440" w:right="1440" w:bottom="1440" w:left="1440" w:header="720" w:footer="720" w:gutter="0"/>
          <w:cols w:space="720"/>
          <w:docGrid w:linePitch="360"/>
        </w:sectPr>
      </w:pPr>
    </w:p>
    <w:p w:rsidR="00874A7E" w:rsidRPr="003B70AD" w:rsidRDefault="00874A7E" w:rsidP="00874A7E">
      <w:pPr>
        <w:jc w:val="center"/>
        <w:rPr>
          <w:b/>
          <w:sz w:val="24"/>
          <w:szCs w:val="24"/>
        </w:rPr>
      </w:pPr>
      <w:r w:rsidRPr="003B70AD">
        <w:rPr>
          <w:b/>
          <w:sz w:val="24"/>
          <w:szCs w:val="24"/>
        </w:rPr>
        <w:lastRenderedPageBreak/>
        <w:t xml:space="preserve">Attachment </w:t>
      </w:r>
      <w:r w:rsidR="005402ED">
        <w:rPr>
          <w:b/>
          <w:sz w:val="24"/>
          <w:szCs w:val="24"/>
        </w:rPr>
        <w:t>3</w:t>
      </w:r>
      <w:r w:rsidRPr="003B70AD">
        <w:rPr>
          <w:b/>
          <w:sz w:val="24"/>
          <w:szCs w:val="24"/>
        </w:rPr>
        <w:t xml:space="preserve"> to </w:t>
      </w:r>
      <w:r w:rsidR="00795CA7">
        <w:rPr>
          <w:b/>
          <w:sz w:val="24"/>
          <w:szCs w:val="24"/>
        </w:rPr>
        <w:t>RRC</w:t>
      </w:r>
      <w:r w:rsidRPr="003B70AD">
        <w:rPr>
          <w:b/>
          <w:sz w:val="24"/>
          <w:szCs w:val="24"/>
        </w:rPr>
        <w:t xml:space="preserve"> Rider and Amendment</w:t>
      </w:r>
    </w:p>
    <w:p w:rsidR="00874A7E" w:rsidRPr="002C2D84" w:rsidRDefault="00874A7E" w:rsidP="00874A7E">
      <w:pPr>
        <w:rPr>
          <w:b/>
          <w:i/>
        </w:rPr>
      </w:pPr>
      <w:r w:rsidRPr="002C2D84">
        <w:rPr>
          <w:b/>
          <w:i/>
        </w:rPr>
        <w:t>[Please refer to Section 2</w:t>
      </w:r>
      <w:r w:rsidR="00DB1696">
        <w:rPr>
          <w:b/>
          <w:i/>
        </w:rPr>
        <w:t>7</w:t>
      </w:r>
      <w:r w:rsidRPr="002C2D84">
        <w:rPr>
          <w:b/>
          <w:i/>
        </w:rPr>
        <w:t xml:space="preserve"> of the </w:t>
      </w:r>
      <w:r w:rsidR="00795CA7">
        <w:rPr>
          <w:b/>
          <w:i/>
        </w:rPr>
        <w:t>RRC</w:t>
      </w:r>
      <w:r w:rsidRPr="002C2D84">
        <w:rPr>
          <w:b/>
          <w:i/>
        </w:rPr>
        <w:t xml:space="preserve"> Rider and Amendment regarding the use of this Attachment.]</w:t>
      </w:r>
    </w:p>
    <w:p w:rsidR="00874A7E" w:rsidRDefault="00874A7E" w:rsidP="00874A7E">
      <w:pPr>
        <w:spacing w:after="0"/>
        <w:jc w:val="center"/>
        <w:rPr>
          <w:rFonts w:eastAsia="Times New Roman" w:cs="Times New Roman"/>
          <w:b/>
          <w:szCs w:val="20"/>
        </w:rPr>
      </w:pPr>
    </w:p>
    <w:p w:rsidR="00874A7E" w:rsidRDefault="00874A7E" w:rsidP="00874A7E">
      <w:pPr>
        <w:spacing w:after="0"/>
        <w:jc w:val="center"/>
        <w:rPr>
          <w:rFonts w:eastAsia="Times New Roman" w:cs="Times New Roman"/>
          <w:b/>
          <w:szCs w:val="20"/>
        </w:rPr>
      </w:pPr>
    </w:p>
    <w:p w:rsidR="00874A7E" w:rsidRPr="00874A7E" w:rsidRDefault="00874A7E" w:rsidP="00874A7E">
      <w:pPr>
        <w:spacing w:after="0"/>
        <w:jc w:val="center"/>
        <w:rPr>
          <w:rFonts w:eastAsia="Times New Roman" w:cs="Times New Roman"/>
          <w:b/>
          <w:szCs w:val="20"/>
        </w:rPr>
      </w:pPr>
      <w:r w:rsidRPr="00874A7E">
        <w:rPr>
          <w:rFonts w:eastAsia="Times New Roman" w:cs="Times New Roman"/>
          <w:b/>
          <w:szCs w:val="20"/>
        </w:rPr>
        <w:t>APPENDIX XV</w:t>
      </w:r>
    </w:p>
    <w:p w:rsidR="00874A7E" w:rsidRPr="00874A7E" w:rsidRDefault="00874A7E" w:rsidP="00874A7E">
      <w:pPr>
        <w:spacing w:after="0"/>
        <w:jc w:val="center"/>
        <w:rPr>
          <w:rFonts w:eastAsia="Times New Roman" w:cs="Times New Roman"/>
          <w:b/>
          <w:szCs w:val="20"/>
        </w:rPr>
      </w:pPr>
      <w:r w:rsidRPr="00874A7E">
        <w:rPr>
          <w:rFonts w:eastAsia="Times New Roman" w:cs="Times New Roman"/>
          <w:b/>
          <w:szCs w:val="20"/>
        </w:rPr>
        <w:t>Subscribed Customer Reporting Form</w:t>
      </w:r>
    </w:p>
    <w:p w:rsidR="00874A7E" w:rsidRPr="00874A7E" w:rsidRDefault="00874A7E" w:rsidP="00874A7E">
      <w:pPr>
        <w:spacing w:after="0"/>
        <w:rPr>
          <w:rFonts w:eastAsia="Times New Roman" w:cs="Times New Roman"/>
          <w:szCs w:val="20"/>
        </w:rPr>
      </w:pPr>
    </w:p>
    <w:p w:rsidR="00874A7E" w:rsidRPr="00874A7E" w:rsidRDefault="00874A7E" w:rsidP="00874A7E">
      <w:pPr>
        <w:spacing w:after="0"/>
        <w:rPr>
          <w:rFonts w:eastAsia="Times New Roman" w:cs="Times New Roman"/>
          <w:szCs w:val="20"/>
        </w:rPr>
      </w:pPr>
      <w:r w:rsidRPr="00874A7E">
        <w:rPr>
          <w:rFonts w:eastAsia="Times New Roman" w:cs="Times New Roman"/>
          <w:szCs w:val="20"/>
        </w:rPr>
        <w:t>Customer Subscription details are to be provided to Buyer</w:t>
      </w:r>
      <w:r>
        <w:rPr>
          <w:rFonts w:eastAsia="Times New Roman" w:cs="Times New Roman"/>
          <w:szCs w:val="20"/>
        </w:rPr>
        <w:t xml:space="preserve"> sixty (</w:t>
      </w:r>
      <w:r w:rsidRPr="00874A7E">
        <w:rPr>
          <w:rFonts w:eastAsia="Times New Roman" w:cs="Times New Roman"/>
          <w:szCs w:val="20"/>
        </w:rPr>
        <w:t>60</w:t>
      </w:r>
      <w:r>
        <w:rPr>
          <w:rFonts w:eastAsia="Times New Roman" w:cs="Times New Roman"/>
          <w:szCs w:val="20"/>
        </w:rPr>
        <w:t>)</w:t>
      </w:r>
      <w:r w:rsidRPr="00874A7E">
        <w:rPr>
          <w:rFonts w:eastAsia="Times New Roman" w:cs="Times New Roman"/>
          <w:szCs w:val="20"/>
        </w:rPr>
        <w:t xml:space="preserve"> days prior to the Commercial Operation Date, and afterwards, </w:t>
      </w:r>
      <w:proofErr w:type="gramStart"/>
      <w:r w:rsidRPr="00874A7E">
        <w:rPr>
          <w:rFonts w:eastAsia="Times New Roman" w:cs="Times New Roman"/>
          <w:szCs w:val="20"/>
        </w:rPr>
        <w:t>on a monthly basis</w:t>
      </w:r>
      <w:proofErr w:type="gramEnd"/>
      <w:r>
        <w:rPr>
          <w:rFonts w:eastAsia="Times New Roman" w:cs="Times New Roman"/>
          <w:szCs w:val="20"/>
        </w:rPr>
        <w:t>, using the table format shown below</w:t>
      </w:r>
      <w:r w:rsidRPr="00874A7E">
        <w:rPr>
          <w:rFonts w:eastAsia="Times New Roman" w:cs="Times New Roman"/>
          <w:szCs w:val="20"/>
        </w:rPr>
        <w:t xml:space="preserve">. </w:t>
      </w:r>
      <w:r>
        <w:rPr>
          <w:rFonts w:eastAsia="Times New Roman" w:cs="Times New Roman"/>
          <w:szCs w:val="20"/>
        </w:rPr>
        <w:t xml:space="preserve"> </w:t>
      </w:r>
      <w:r w:rsidRPr="00874A7E">
        <w:rPr>
          <w:rFonts w:eastAsia="Times New Roman" w:cs="Times New Roman"/>
          <w:szCs w:val="20"/>
        </w:rPr>
        <w:t xml:space="preserve">Note that Seller should fill </w:t>
      </w:r>
      <w:r>
        <w:rPr>
          <w:rFonts w:eastAsia="Times New Roman" w:cs="Times New Roman"/>
          <w:szCs w:val="20"/>
        </w:rPr>
        <w:t>in</w:t>
      </w:r>
      <w:r w:rsidRPr="00874A7E">
        <w:rPr>
          <w:rFonts w:eastAsia="Times New Roman" w:cs="Times New Roman"/>
          <w:szCs w:val="20"/>
        </w:rPr>
        <w:t xml:space="preserve"> </w:t>
      </w:r>
      <w:r w:rsidRPr="00874A7E">
        <w:rPr>
          <w:rFonts w:eastAsia="Times New Roman" w:cs="Times New Roman"/>
          <w:b/>
          <w:szCs w:val="20"/>
        </w:rPr>
        <w:t>EITHER</w:t>
      </w:r>
      <w:r w:rsidRPr="00874A7E">
        <w:rPr>
          <w:rFonts w:eastAsia="Times New Roman" w:cs="Times New Roman"/>
          <w:szCs w:val="20"/>
        </w:rPr>
        <w:t xml:space="preserve"> the “Capacity Subscribed (kW)” </w:t>
      </w:r>
      <w:r>
        <w:rPr>
          <w:rFonts w:eastAsia="Times New Roman" w:cs="Times New Roman"/>
          <w:szCs w:val="20"/>
        </w:rPr>
        <w:t xml:space="preserve">column </w:t>
      </w:r>
      <w:r w:rsidRPr="00874A7E">
        <w:rPr>
          <w:rFonts w:eastAsia="Times New Roman" w:cs="Times New Roman"/>
          <w:b/>
          <w:szCs w:val="20"/>
        </w:rPr>
        <w:t>OR</w:t>
      </w:r>
      <w:r w:rsidRPr="00874A7E">
        <w:rPr>
          <w:rFonts w:eastAsia="Times New Roman" w:cs="Times New Roman"/>
          <w:szCs w:val="20"/>
        </w:rPr>
        <w:t xml:space="preserve"> the “Load Subscribed (kWh)” column,</w:t>
      </w:r>
      <w:r>
        <w:rPr>
          <w:rFonts w:eastAsia="Times New Roman" w:cs="Times New Roman"/>
          <w:szCs w:val="20"/>
        </w:rPr>
        <w:t xml:space="preserve"> depending upon </w:t>
      </w:r>
      <w:r w:rsidRPr="00874A7E">
        <w:rPr>
          <w:rFonts w:eastAsia="Times New Roman" w:cs="Times New Roman"/>
          <w:szCs w:val="20"/>
        </w:rPr>
        <w:t>the business model being employed by Seller pursuant to the CSA.</w:t>
      </w:r>
    </w:p>
    <w:p w:rsidR="00874A7E" w:rsidRDefault="00874A7E" w:rsidP="00874A7E">
      <w:pPr>
        <w:spacing w:after="0"/>
        <w:rPr>
          <w:rFonts w:eastAsia="Times New Roman" w:cs="Times New Roman"/>
          <w:szCs w:val="20"/>
        </w:rPr>
      </w:pPr>
    </w:p>
    <w:p w:rsidR="00874A7E" w:rsidRPr="00874A7E" w:rsidRDefault="00874A7E" w:rsidP="00874A7E">
      <w:pPr>
        <w:spacing w:after="0"/>
        <w:rPr>
          <w:rFonts w:eastAsia="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2739"/>
        <w:gridCol w:w="1530"/>
        <w:gridCol w:w="1890"/>
        <w:gridCol w:w="1548"/>
      </w:tblGrid>
      <w:tr w:rsidR="00874A7E" w:rsidRPr="00874A7E" w:rsidTr="00874A7E">
        <w:tc>
          <w:tcPr>
            <w:tcW w:w="1869" w:type="dxa"/>
            <w:shd w:val="clear" w:color="auto" w:fill="D9D9D9" w:themeFill="background1" w:themeFillShade="D9"/>
            <w:vAlign w:val="center"/>
          </w:tcPr>
          <w:p w:rsidR="00874A7E" w:rsidRPr="00874A7E" w:rsidRDefault="00874A7E" w:rsidP="00874A7E">
            <w:pPr>
              <w:spacing w:before="60" w:after="60"/>
              <w:jc w:val="center"/>
              <w:rPr>
                <w:rFonts w:eastAsia="Times New Roman" w:cs="Times New Roman"/>
                <w:szCs w:val="20"/>
              </w:rPr>
            </w:pPr>
            <w:r w:rsidRPr="00874A7E">
              <w:rPr>
                <w:rFonts w:eastAsia="Times New Roman" w:cs="Times New Roman"/>
                <w:szCs w:val="20"/>
              </w:rPr>
              <w:t>Name</w:t>
            </w:r>
          </w:p>
        </w:tc>
        <w:tc>
          <w:tcPr>
            <w:tcW w:w="2739" w:type="dxa"/>
            <w:shd w:val="clear" w:color="auto" w:fill="D9D9D9" w:themeFill="background1" w:themeFillShade="D9"/>
            <w:vAlign w:val="center"/>
          </w:tcPr>
          <w:p w:rsidR="00874A7E" w:rsidRPr="00874A7E" w:rsidRDefault="00874A7E" w:rsidP="00874A7E">
            <w:pPr>
              <w:spacing w:before="60" w:after="60"/>
              <w:jc w:val="center"/>
              <w:rPr>
                <w:rFonts w:eastAsia="Times New Roman" w:cs="Times New Roman"/>
                <w:szCs w:val="20"/>
              </w:rPr>
            </w:pPr>
            <w:r w:rsidRPr="00874A7E">
              <w:rPr>
                <w:rFonts w:eastAsia="Times New Roman" w:cs="Times New Roman"/>
                <w:szCs w:val="20"/>
              </w:rPr>
              <w:t>Service Address/PG&amp;E service account number</w:t>
            </w:r>
          </w:p>
        </w:tc>
        <w:tc>
          <w:tcPr>
            <w:tcW w:w="1530" w:type="dxa"/>
            <w:shd w:val="clear" w:color="auto" w:fill="D9D9D9" w:themeFill="background1" w:themeFillShade="D9"/>
            <w:vAlign w:val="center"/>
          </w:tcPr>
          <w:p w:rsidR="00874A7E" w:rsidRPr="00874A7E" w:rsidRDefault="00874A7E" w:rsidP="00874A7E">
            <w:pPr>
              <w:spacing w:before="60" w:after="60"/>
              <w:jc w:val="center"/>
              <w:rPr>
                <w:rFonts w:eastAsia="Times New Roman" w:cs="Times New Roman"/>
                <w:szCs w:val="20"/>
              </w:rPr>
            </w:pPr>
            <w:r w:rsidRPr="00874A7E">
              <w:rPr>
                <w:rFonts w:eastAsia="Times New Roman" w:cs="Times New Roman"/>
                <w:szCs w:val="20"/>
              </w:rPr>
              <w:t>Capacity Subscribed (kW)</w:t>
            </w:r>
          </w:p>
        </w:tc>
        <w:tc>
          <w:tcPr>
            <w:tcW w:w="1890" w:type="dxa"/>
            <w:shd w:val="clear" w:color="auto" w:fill="D9D9D9" w:themeFill="background1" w:themeFillShade="D9"/>
            <w:vAlign w:val="center"/>
          </w:tcPr>
          <w:p w:rsidR="00874A7E" w:rsidRPr="00874A7E" w:rsidRDefault="00874A7E" w:rsidP="00874A7E">
            <w:pPr>
              <w:spacing w:before="60" w:after="60"/>
              <w:jc w:val="center"/>
              <w:rPr>
                <w:rFonts w:eastAsia="Times New Roman" w:cs="Times New Roman"/>
                <w:szCs w:val="20"/>
              </w:rPr>
            </w:pPr>
            <w:r w:rsidRPr="00874A7E">
              <w:rPr>
                <w:rFonts w:eastAsia="Times New Roman" w:cs="Times New Roman"/>
                <w:szCs w:val="20"/>
              </w:rPr>
              <w:t>Load Subscribed (kWh)</w:t>
            </w:r>
          </w:p>
        </w:tc>
        <w:tc>
          <w:tcPr>
            <w:tcW w:w="1548" w:type="dxa"/>
            <w:shd w:val="clear" w:color="auto" w:fill="D9D9D9" w:themeFill="background1" w:themeFillShade="D9"/>
            <w:vAlign w:val="center"/>
          </w:tcPr>
          <w:p w:rsidR="00874A7E" w:rsidRPr="00874A7E" w:rsidRDefault="00874A7E" w:rsidP="00874A7E">
            <w:pPr>
              <w:spacing w:before="60" w:after="60"/>
              <w:jc w:val="center"/>
              <w:rPr>
                <w:rFonts w:eastAsia="Times New Roman" w:cs="Times New Roman"/>
                <w:szCs w:val="20"/>
              </w:rPr>
            </w:pPr>
            <w:r w:rsidRPr="00874A7E">
              <w:rPr>
                <w:rFonts w:eastAsia="Times New Roman" w:cs="Times New Roman"/>
                <w:szCs w:val="20"/>
              </w:rPr>
              <w:t>Load Served (kW)</w:t>
            </w:r>
          </w:p>
        </w:tc>
      </w:tr>
      <w:tr w:rsidR="00874A7E" w:rsidRPr="00874A7E" w:rsidTr="00874A7E">
        <w:tc>
          <w:tcPr>
            <w:tcW w:w="1869" w:type="dxa"/>
            <w:shd w:val="clear" w:color="auto" w:fill="auto"/>
          </w:tcPr>
          <w:p w:rsidR="00874A7E" w:rsidRPr="00874A7E" w:rsidRDefault="00874A7E" w:rsidP="00874A7E">
            <w:pPr>
              <w:spacing w:after="0"/>
              <w:rPr>
                <w:rFonts w:eastAsia="Times New Roman" w:cs="Times New Roman"/>
                <w:szCs w:val="20"/>
              </w:rPr>
            </w:pPr>
          </w:p>
        </w:tc>
        <w:tc>
          <w:tcPr>
            <w:tcW w:w="2739" w:type="dxa"/>
            <w:shd w:val="clear" w:color="auto" w:fill="auto"/>
          </w:tcPr>
          <w:p w:rsidR="00874A7E" w:rsidRPr="00874A7E" w:rsidRDefault="00874A7E" w:rsidP="00874A7E">
            <w:pPr>
              <w:spacing w:after="0"/>
              <w:rPr>
                <w:rFonts w:eastAsia="Times New Roman" w:cs="Times New Roman"/>
                <w:szCs w:val="20"/>
              </w:rPr>
            </w:pPr>
          </w:p>
        </w:tc>
        <w:tc>
          <w:tcPr>
            <w:tcW w:w="1530" w:type="dxa"/>
            <w:shd w:val="clear" w:color="auto" w:fill="auto"/>
          </w:tcPr>
          <w:p w:rsidR="00874A7E" w:rsidRPr="00874A7E" w:rsidRDefault="00874A7E" w:rsidP="00874A7E">
            <w:pPr>
              <w:spacing w:after="0"/>
              <w:rPr>
                <w:rFonts w:eastAsia="Times New Roman" w:cs="Times New Roman"/>
                <w:szCs w:val="20"/>
              </w:rPr>
            </w:pPr>
          </w:p>
        </w:tc>
        <w:tc>
          <w:tcPr>
            <w:tcW w:w="1890" w:type="dxa"/>
            <w:shd w:val="clear" w:color="auto" w:fill="auto"/>
          </w:tcPr>
          <w:p w:rsidR="00874A7E" w:rsidRPr="00874A7E" w:rsidRDefault="00874A7E" w:rsidP="00874A7E">
            <w:pPr>
              <w:spacing w:after="0"/>
              <w:rPr>
                <w:rFonts w:eastAsia="Times New Roman" w:cs="Times New Roman"/>
                <w:szCs w:val="20"/>
              </w:rPr>
            </w:pPr>
          </w:p>
        </w:tc>
        <w:tc>
          <w:tcPr>
            <w:tcW w:w="1548" w:type="dxa"/>
            <w:shd w:val="clear" w:color="auto" w:fill="auto"/>
          </w:tcPr>
          <w:p w:rsidR="00874A7E" w:rsidRPr="00874A7E" w:rsidRDefault="00874A7E" w:rsidP="00874A7E">
            <w:pPr>
              <w:spacing w:after="0"/>
              <w:rPr>
                <w:rFonts w:eastAsia="Times New Roman" w:cs="Times New Roman"/>
                <w:szCs w:val="20"/>
              </w:rPr>
            </w:pPr>
          </w:p>
        </w:tc>
      </w:tr>
      <w:tr w:rsidR="00874A7E" w:rsidRPr="00874A7E" w:rsidTr="00874A7E">
        <w:tc>
          <w:tcPr>
            <w:tcW w:w="1869" w:type="dxa"/>
            <w:shd w:val="clear" w:color="auto" w:fill="auto"/>
          </w:tcPr>
          <w:p w:rsidR="00874A7E" w:rsidRPr="00874A7E" w:rsidRDefault="00874A7E" w:rsidP="00874A7E">
            <w:pPr>
              <w:spacing w:after="0"/>
              <w:rPr>
                <w:rFonts w:eastAsia="Times New Roman" w:cs="Times New Roman"/>
                <w:szCs w:val="20"/>
              </w:rPr>
            </w:pPr>
          </w:p>
        </w:tc>
        <w:tc>
          <w:tcPr>
            <w:tcW w:w="2739" w:type="dxa"/>
            <w:shd w:val="clear" w:color="auto" w:fill="auto"/>
          </w:tcPr>
          <w:p w:rsidR="00874A7E" w:rsidRPr="00874A7E" w:rsidRDefault="00874A7E" w:rsidP="00874A7E">
            <w:pPr>
              <w:spacing w:after="0"/>
              <w:rPr>
                <w:rFonts w:eastAsia="Times New Roman" w:cs="Times New Roman"/>
                <w:szCs w:val="20"/>
              </w:rPr>
            </w:pPr>
          </w:p>
        </w:tc>
        <w:tc>
          <w:tcPr>
            <w:tcW w:w="1530" w:type="dxa"/>
            <w:shd w:val="clear" w:color="auto" w:fill="auto"/>
          </w:tcPr>
          <w:p w:rsidR="00874A7E" w:rsidRPr="00874A7E" w:rsidRDefault="00874A7E" w:rsidP="00874A7E">
            <w:pPr>
              <w:spacing w:after="0"/>
              <w:rPr>
                <w:rFonts w:eastAsia="Times New Roman" w:cs="Times New Roman"/>
                <w:szCs w:val="20"/>
              </w:rPr>
            </w:pPr>
          </w:p>
        </w:tc>
        <w:tc>
          <w:tcPr>
            <w:tcW w:w="1890" w:type="dxa"/>
            <w:shd w:val="clear" w:color="auto" w:fill="auto"/>
          </w:tcPr>
          <w:p w:rsidR="00874A7E" w:rsidRPr="00874A7E" w:rsidRDefault="00874A7E" w:rsidP="00874A7E">
            <w:pPr>
              <w:spacing w:after="0"/>
              <w:rPr>
                <w:rFonts w:eastAsia="Times New Roman" w:cs="Times New Roman"/>
                <w:szCs w:val="20"/>
              </w:rPr>
            </w:pPr>
          </w:p>
        </w:tc>
        <w:tc>
          <w:tcPr>
            <w:tcW w:w="1548" w:type="dxa"/>
            <w:shd w:val="clear" w:color="auto" w:fill="auto"/>
          </w:tcPr>
          <w:p w:rsidR="00874A7E" w:rsidRPr="00874A7E" w:rsidRDefault="00874A7E" w:rsidP="00874A7E">
            <w:pPr>
              <w:spacing w:after="0"/>
              <w:rPr>
                <w:rFonts w:eastAsia="Times New Roman" w:cs="Times New Roman"/>
                <w:szCs w:val="20"/>
              </w:rPr>
            </w:pPr>
          </w:p>
        </w:tc>
      </w:tr>
      <w:tr w:rsidR="00874A7E" w:rsidRPr="00874A7E" w:rsidTr="00874A7E">
        <w:tc>
          <w:tcPr>
            <w:tcW w:w="1869" w:type="dxa"/>
            <w:shd w:val="clear" w:color="auto" w:fill="auto"/>
          </w:tcPr>
          <w:p w:rsidR="00874A7E" w:rsidRPr="00874A7E" w:rsidRDefault="00874A7E" w:rsidP="00874A7E">
            <w:pPr>
              <w:spacing w:after="0"/>
              <w:rPr>
                <w:rFonts w:eastAsia="Times New Roman" w:cs="Times New Roman"/>
                <w:szCs w:val="20"/>
              </w:rPr>
            </w:pPr>
          </w:p>
        </w:tc>
        <w:tc>
          <w:tcPr>
            <w:tcW w:w="2739" w:type="dxa"/>
            <w:shd w:val="clear" w:color="auto" w:fill="auto"/>
          </w:tcPr>
          <w:p w:rsidR="00874A7E" w:rsidRPr="00874A7E" w:rsidRDefault="00874A7E" w:rsidP="00874A7E">
            <w:pPr>
              <w:spacing w:after="0"/>
              <w:rPr>
                <w:rFonts w:eastAsia="Times New Roman" w:cs="Times New Roman"/>
                <w:szCs w:val="20"/>
              </w:rPr>
            </w:pPr>
          </w:p>
        </w:tc>
        <w:tc>
          <w:tcPr>
            <w:tcW w:w="1530" w:type="dxa"/>
            <w:shd w:val="clear" w:color="auto" w:fill="auto"/>
          </w:tcPr>
          <w:p w:rsidR="00874A7E" w:rsidRPr="00874A7E" w:rsidRDefault="00874A7E" w:rsidP="00874A7E">
            <w:pPr>
              <w:spacing w:after="0"/>
              <w:rPr>
                <w:rFonts w:eastAsia="Times New Roman" w:cs="Times New Roman"/>
                <w:szCs w:val="20"/>
              </w:rPr>
            </w:pPr>
          </w:p>
        </w:tc>
        <w:tc>
          <w:tcPr>
            <w:tcW w:w="1890" w:type="dxa"/>
            <w:shd w:val="clear" w:color="auto" w:fill="auto"/>
          </w:tcPr>
          <w:p w:rsidR="00874A7E" w:rsidRPr="00874A7E" w:rsidRDefault="00874A7E" w:rsidP="00874A7E">
            <w:pPr>
              <w:spacing w:after="0"/>
              <w:rPr>
                <w:rFonts w:eastAsia="Times New Roman" w:cs="Times New Roman"/>
                <w:szCs w:val="20"/>
              </w:rPr>
            </w:pPr>
          </w:p>
        </w:tc>
        <w:tc>
          <w:tcPr>
            <w:tcW w:w="1548" w:type="dxa"/>
            <w:shd w:val="clear" w:color="auto" w:fill="auto"/>
          </w:tcPr>
          <w:p w:rsidR="00874A7E" w:rsidRPr="00874A7E" w:rsidRDefault="00874A7E" w:rsidP="00874A7E">
            <w:pPr>
              <w:spacing w:after="0"/>
              <w:rPr>
                <w:rFonts w:eastAsia="Times New Roman" w:cs="Times New Roman"/>
                <w:szCs w:val="20"/>
              </w:rPr>
            </w:pPr>
          </w:p>
        </w:tc>
      </w:tr>
      <w:tr w:rsidR="00874A7E" w:rsidRPr="00874A7E" w:rsidTr="00874A7E">
        <w:tc>
          <w:tcPr>
            <w:tcW w:w="1869" w:type="dxa"/>
            <w:shd w:val="clear" w:color="auto" w:fill="auto"/>
          </w:tcPr>
          <w:p w:rsidR="00874A7E" w:rsidRPr="00874A7E" w:rsidRDefault="00874A7E" w:rsidP="00874A7E">
            <w:pPr>
              <w:spacing w:after="0"/>
              <w:rPr>
                <w:rFonts w:eastAsia="Times New Roman" w:cs="Times New Roman"/>
                <w:szCs w:val="20"/>
              </w:rPr>
            </w:pPr>
          </w:p>
        </w:tc>
        <w:tc>
          <w:tcPr>
            <w:tcW w:w="2739" w:type="dxa"/>
            <w:shd w:val="clear" w:color="auto" w:fill="auto"/>
          </w:tcPr>
          <w:p w:rsidR="00874A7E" w:rsidRPr="00874A7E" w:rsidRDefault="00874A7E" w:rsidP="00874A7E">
            <w:pPr>
              <w:spacing w:after="0"/>
              <w:rPr>
                <w:rFonts w:eastAsia="Times New Roman" w:cs="Times New Roman"/>
                <w:szCs w:val="20"/>
              </w:rPr>
            </w:pPr>
          </w:p>
        </w:tc>
        <w:tc>
          <w:tcPr>
            <w:tcW w:w="1530" w:type="dxa"/>
            <w:shd w:val="clear" w:color="auto" w:fill="auto"/>
          </w:tcPr>
          <w:p w:rsidR="00874A7E" w:rsidRPr="00874A7E" w:rsidRDefault="00874A7E" w:rsidP="00874A7E">
            <w:pPr>
              <w:spacing w:after="0"/>
              <w:rPr>
                <w:rFonts w:eastAsia="Times New Roman" w:cs="Times New Roman"/>
                <w:szCs w:val="20"/>
              </w:rPr>
            </w:pPr>
          </w:p>
        </w:tc>
        <w:tc>
          <w:tcPr>
            <w:tcW w:w="1890" w:type="dxa"/>
            <w:shd w:val="clear" w:color="auto" w:fill="auto"/>
          </w:tcPr>
          <w:p w:rsidR="00874A7E" w:rsidRPr="00874A7E" w:rsidRDefault="00874A7E" w:rsidP="00874A7E">
            <w:pPr>
              <w:spacing w:after="0"/>
              <w:rPr>
                <w:rFonts w:eastAsia="Times New Roman" w:cs="Times New Roman"/>
                <w:szCs w:val="20"/>
              </w:rPr>
            </w:pPr>
          </w:p>
        </w:tc>
        <w:tc>
          <w:tcPr>
            <w:tcW w:w="1548" w:type="dxa"/>
            <w:shd w:val="clear" w:color="auto" w:fill="auto"/>
          </w:tcPr>
          <w:p w:rsidR="00874A7E" w:rsidRPr="00874A7E" w:rsidRDefault="00874A7E" w:rsidP="00874A7E">
            <w:pPr>
              <w:spacing w:after="0"/>
              <w:rPr>
                <w:rFonts w:eastAsia="Times New Roman" w:cs="Times New Roman"/>
                <w:szCs w:val="20"/>
              </w:rPr>
            </w:pPr>
          </w:p>
        </w:tc>
      </w:tr>
      <w:tr w:rsidR="00874A7E" w:rsidRPr="00874A7E" w:rsidTr="00874A7E">
        <w:tc>
          <w:tcPr>
            <w:tcW w:w="1869" w:type="dxa"/>
            <w:shd w:val="clear" w:color="auto" w:fill="auto"/>
          </w:tcPr>
          <w:p w:rsidR="00874A7E" w:rsidRPr="00874A7E" w:rsidRDefault="00874A7E" w:rsidP="00874A7E">
            <w:pPr>
              <w:spacing w:after="0"/>
              <w:rPr>
                <w:rFonts w:eastAsia="Times New Roman" w:cs="Times New Roman"/>
                <w:szCs w:val="20"/>
              </w:rPr>
            </w:pPr>
          </w:p>
        </w:tc>
        <w:tc>
          <w:tcPr>
            <w:tcW w:w="2739" w:type="dxa"/>
            <w:shd w:val="clear" w:color="auto" w:fill="auto"/>
          </w:tcPr>
          <w:p w:rsidR="00874A7E" w:rsidRPr="00874A7E" w:rsidRDefault="00874A7E" w:rsidP="00874A7E">
            <w:pPr>
              <w:spacing w:after="0"/>
              <w:rPr>
                <w:rFonts w:eastAsia="Times New Roman" w:cs="Times New Roman"/>
                <w:szCs w:val="20"/>
              </w:rPr>
            </w:pPr>
          </w:p>
        </w:tc>
        <w:tc>
          <w:tcPr>
            <w:tcW w:w="1530" w:type="dxa"/>
            <w:shd w:val="clear" w:color="auto" w:fill="auto"/>
          </w:tcPr>
          <w:p w:rsidR="00874A7E" w:rsidRPr="00874A7E" w:rsidRDefault="00874A7E" w:rsidP="00874A7E">
            <w:pPr>
              <w:spacing w:after="0"/>
              <w:rPr>
                <w:rFonts w:eastAsia="Times New Roman" w:cs="Times New Roman"/>
                <w:szCs w:val="20"/>
              </w:rPr>
            </w:pPr>
          </w:p>
        </w:tc>
        <w:tc>
          <w:tcPr>
            <w:tcW w:w="1890" w:type="dxa"/>
            <w:shd w:val="clear" w:color="auto" w:fill="auto"/>
          </w:tcPr>
          <w:p w:rsidR="00874A7E" w:rsidRPr="00874A7E" w:rsidRDefault="00874A7E" w:rsidP="00874A7E">
            <w:pPr>
              <w:spacing w:after="0"/>
              <w:rPr>
                <w:rFonts w:eastAsia="Times New Roman" w:cs="Times New Roman"/>
                <w:szCs w:val="20"/>
              </w:rPr>
            </w:pPr>
          </w:p>
        </w:tc>
        <w:tc>
          <w:tcPr>
            <w:tcW w:w="1548" w:type="dxa"/>
            <w:shd w:val="clear" w:color="auto" w:fill="auto"/>
          </w:tcPr>
          <w:p w:rsidR="00874A7E" w:rsidRPr="00874A7E" w:rsidRDefault="00874A7E" w:rsidP="00874A7E">
            <w:pPr>
              <w:spacing w:after="0"/>
              <w:rPr>
                <w:rFonts w:eastAsia="Times New Roman" w:cs="Times New Roman"/>
                <w:szCs w:val="20"/>
              </w:rPr>
            </w:pPr>
          </w:p>
        </w:tc>
      </w:tr>
      <w:tr w:rsidR="00874A7E" w:rsidRPr="00874A7E" w:rsidTr="00874A7E">
        <w:tc>
          <w:tcPr>
            <w:tcW w:w="1869" w:type="dxa"/>
            <w:shd w:val="clear" w:color="auto" w:fill="auto"/>
          </w:tcPr>
          <w:p w:rsidR="00874A7E" w:rsidRPr="00874A7E" w:rsidRDefault="00874A7E" w:rsidP="00874A7E">
            <w:pPr>
              <w:spacing w:after="0"/>
              <w:rPr>
                <w:rFonts w:eastAsia="Times New Roman" w:cs="Times New Roman"/>
                <w:szCs w:val="20"/>
              </w:rPr>
            </w:pPr>
          </w:p>
        </w:tc>
        <w:tc>
          <w:tcPr>
            <w:tcW w:w="2739" w:type="dxa"/>
            <w:shd w:val="clear" w:color="auto" w:fill="auto"/>
          </w:tcPr>
          <w:p w:rsidR="00874A7E" w:rsidRPr="00874A7E" w:rsidRDefault="00874A7E" w:rsidP="00874A7E">
            <w:pPr>
              <w:spacing w:after="0"/>
              <w:rPr>
                <w:rFonts w:eastAsia="Times New Roman" w:cs="Times New Roman"/>
                <w:szCs w:val="20"/>
              </w:rPr>
            </w:pPr>
          </w:p>
        </w:tc>
        <w:tc>
          <w:tcPr>
            <w:tcW w:w="1530" w:type="dxa"/>
            <w:shd w:val="clear" w:color="auto" w:fill="auto"/>
          </w:tcPr>
          <w:p w:rsidR="00874A7E" w:rsidRPr="00874A7E" w:rsidRDefault="00874A7E" w:rsidP="00874A7E">
            <w:pPr>
              <w:spacing w:after="0"/>
              <w:rPr>
                <w:rFonts w:eastAsia="Times New Roman" w:cs="Times New Roman"/>
                <w:szCs w:val="20"/>
              </w:rPr>
            </w:pPr>
          </w:p>
        </w:tc>
        <w:tc>
          <w:tcPr>
            <w:tcW w:w="1890" w:type="dxa"/>
            <w:shd w:val="clear" w:color="auto" w:fill="auto"/>
          </w:tcPr>
          <w:p w:rsidR="00874A7E" w:rsidRPr="00874A7E" w:rsidRDefault="00874A7E" w:rsidP="00874A7E">
            <w:pPr>
              <w:spacing w:after="0"/>
              <w:rPr>
                <w:rFonts w:eastAsia="Times New Roman" w:cs="Times New Roman"/>
                <w:szCs w:val="20"/>
              </w:rPr>
            </w:pPr>
          </w:p>
        </w:tc>
        <w:tc>
          <w:tcPr>
            <w:tcW w:w="1548" w:type="dxa"/>
            <w:shd w:val="clear" w:color="auto" w:fill="auto"/>
          </w:tcPr>
          <w:p w:rsidR="00874A7E" w:rsidRPr="00874A7E" w:rsidRDefault="00874A7E" w:rsidP="00874A7E">
            <w:pPr>
              <w:spacing w:after="0"/>
              <w:rPr>
                <w:rFonts w:eastAsia="Times New Roman" w:cs="Times New Roman"/>
                <w:szCs w:val="20"/>
              </w:rPr>
            </w:pPr>
          </w:p>
        </w:tc>
      </w:tr>
    </w:tbl>
    <w:p w:rsidR="00874A7E" w:rsidRPr="00874A7E" w:rsidRDefault="00874A7E" w:rsidP="00874A7E">
      <w:pPr>
        <w:spacing w:after="0"/>
        <w:rPr>
          <w:rFonts w:eastAsia="Times New Roman" w:cs="Times New Roman"/>
          <w:szCs w:val="20"/>
        </w:rPr>
      </w:pPr>
    </w:p>
    <w:p w:rsidR="002C2D84" w:rsidRPr="002C2D84" w:rsidRDefault="002C2D84" w:rsidP="002C2D84"/>
    <w:sectPr w:rsidR="002C2D84" w:rsidRPr="002C2D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346" w:rsidRDefault="000E0346" w:rsidP="005516BD">
      <w:pPr>
        <w:spacing w:after="0"/>
      </w:pPr>
      <w:r>
        <w:separator/>
      </w:r>
    </w:p>
  </w:endnote>
  <w:endnote w:type="continuationSeparator" w:id="0">
    <w:p w:rsidR="000E0346" w:rsidRDefault="000E0346" w:rsidP="005516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416" w:rsidRDefault="002D2416" w:rsidP="00BD4DAC">
    <w:pPr>
      <w:pStyle w:val="Footer"/>
      <w:jc w:val="center"/>
      <w:rPr>
        <w:noProof/>
      </w:rPr>
    </w:pPr>
    <w:r>
      <w:t xml:space="preserve">Page </w:t>
    </w:r>
    <w:r>
      <w:fldChar w:fldCharType="begin"/>
    </w:r>
    <w:r>
      <w:instrText xml:space="preserve"> PAGE  \* Arabic  \* MERGEFORMAT </w:instrText>
    </w:r>
    <w:r>
      <w:fldChar w:fldCharType="separate"/>
    </w:r>
    <w:r w:rsidR="006D7EBF">
      <w:rPr>
        <w:noProof/>
      </w:rPr>
      <w:t>10</w:t>
    </w:r>
    <w:r>
      <w:fldChar w:fldCharType="end"/>
    </w:r>
    <w:r>
      <w:t xml:space="preserve"> of </w:t>
    </w:r>
    <w:fldSimple w:instr=" NUMPAGES  \* Arabic  \* MERGEFORMAT ">
      <w:r w:rsidR="006D7EBF">
        <w:rPr>
          <w:noProof/>
        </w:rPr>
        <w:t>22</w:t>
      </w:r>
    </w:fldSimple>
  </w:p>
  <w:p w:rsidR="00227ED2" w:rsidRPr="00227ED2" w:rsidRDefault="006D7EBF" w:rsidP="00227ED2">
    <w:pPr>
      <w:pStyle w:val="Footer"/>
      <w:jc w:val="right"/>
      <w:rPr>
        <w:noProof/>
        <w:sz w:val="18"/>
        <w:szCs w:val="18"/>
      </w:rPr>
    </w:pPr>
    <w:r>
      <w:rPr>
        <w:noProof/>
        <w:sz w:val="18"/>
        <w:szCs w:val="18"/>
      </w:rPr>
      <w:t>August 1</w:t>
    </w:r>
    <w:r w:rsidR="002A6C54">
      <w:rPr>
        <w:noProof/>
        <w:sz w:val="18"/>
        <w:szCs w:val="18"/>
      </w:rPr>
      <w:t>, 201</w:t>
    </w:r>
    <w:r w:rsidR="00400AAB">
      <w:rPr>
        <w:noProof/>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346" w:rsidRDefault="000E0346" w:rsidP="005516BD">
      <w:pPr>
        <w:spacing w:after="0"/>
      </w:pPr>
      <w:r>
        <w:separator/>
      </w:r>
    </w:p>
  </w:footnote>
  <w:footnote w:type="continuationSeparator" w:id="0">
    <w:p w:rsidR="000E0346" w:rsidRDefault="000E0346" w:rsidP="005516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416" w:rsidRPr="00BD4DAC" w:rsidRDefault="00045655" w:rsidP="00BD4DAC">
    <w:pPr>
      <w:pStyle w:val="Header"/>
    </w:pPr>
    <w:r>
      <w:t>RRC</w:t>
    </w:r>
    <w:r w:rsidR="002D2416" w:rsidRPr="00BD4DAC">
      <w:t xml:space="preserve"> Rider and Amendment to </w:t>
    </w:r>
    <w:r w:rsidR="002D2416">
      <w:t xml:space="preserve">2015 PG&amp;E </w:t>
    </w:r>
    <w:r w:rsidR="002D2416" w:rsidRPr="00BD4DAC">
      <w:t>RAM Power Purchase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17"/>
    <w:rsid w:val="00017961"/>
    <w:rsid w:val="0002104C"/>
    <w:rsid w:val="00042EB4"/>
    <w:rsid w:val="00045655"/>
    <w:rsid w:val="000551E5"/>
    <w:rsid w:val="00057240"/>
    <w:rsid w:val="00063033"/>
    <w:rsid w:val="00075342"/>
    <w:rsid w:val="00080130"/>
    <w:rsid w:val="000978F7"/>
    <w:rsid w:val="000A4017"/>
    <w:rsid w:val="000C3240"/>
    <w:rsid w:val="000E0346"/>
    <w:rsid w:val="00103370"/>
    <w:rsid w:val="00123D66"/>
    <w:rsid w:val="001348AD"/>
    <w:rsid w:val="001A4F00"/>
    <w:rsid w:val="001B575D"/>
    <w:rsid w:val="001E1712"/>
    <w:rsid w:val="001F3EA7"/>
    <w:rsid w:val="00227ED2"/>
    <w:rsid w:val="00252B5C"/>
    <w:rsid w:val="002802E7"/>
    <w:rsid w:val="00292B0A"/>
    <w:rsid w:val="002A6C54"/>
    <w:rsid w:val="002A7EEE"/>
    <w:rsid w:val="002C2D84"/>
    <w:rsid w:val="002D2416"/>
    <w:rsid w:val="002F65B0"/>
    <w:rsid w:val="00302317"/>
    <w:rsid w:val="003046BF"/>
    <w:rsid w:val="0032180F"/>
    <w:rsid w:val="00344F39"/>
    <w:rsid w:val="00347619"/>
    <w:rsid w:val="00350120"/>
    <w:rsid w:val="00394038"/>
    <w:rsid w:val="003B70AD"/>
    <w:rsid w:val="003E2490"/>
    <w:rsid w:val="003E44CE"/>
    <w:rsid w:val="00400AAB"/>
    <w:rsid w:val="00440B95"/>
    <w:rsid w:val="00463550"/>
    <w:rsid w:val="004969C2"/>
    <w:rsid w:val="004A438F"/>
    <w:rsid w:val="004C328E"/>
    <w:rsid w:val="004C7E4B"/>
    <w:rsid w:val="005402ED"/>
    <w:rsid w:val="005403D5"/>
    <w:rsid w:val="005516BD"/>
    <w:rsid w:val="00557E54"/>
    <w:rsid w:val="00564DF1"/>
    <w:rsid w:val="00576919"/>
    <w:rsid w:val="005A5951"/>
    <w:rsid w:val="005C1A06"/>
    <w:rsid w:val="005C1E59"/>
    <w:rsid w:val="005F3115"/>
    <w:rsid w:val="00610992"/>
    <w:rsid w:val="00624C70"/>
    <w:rsid w:val="00626D54"/>
    <w:rsid w:val="006573F8"/>
    <w:rsid w:val="006756BD"/>
    <w:rsid w:val="00683A10"/>
    <w:rsid w:val="006944B9"/>
    <w:rsid w:val="006A7090"/>
    <w:rsid w:val="006B1AD3"/>
    <w:rsid w:val="006D7EBF"/>
    <w:rsid w:val="006E277B"/>
    <w:rsid w:val="00701962"/>
    <w:rsid w:val="007338E4"/>
    <w:rsid w:val="00785DC7"/>
    <w:rsid w:val="00795CA7"/>
    <w:rsid w:val="007D3183"/>
    <w:rsid w:val="00803896"/>
    <w:rsid w:val="008670FB"/>
    <w:rsid w:val="00873528"/>
    <w:rsid w:val="00874A7E"/>
    <w:rsid w:val="008957FA"/>
    <w:rsid w:val="008C6015"/>
    <w:rsid w:val="008D750B"/>
    <w:rsid w:val="00915B5B"/>
    <w:rsid w:val="009379DB"/>
    <w:rsid w:val="00937C31"/>
    <w:rsid w:val="00960B03"/>
    <w:rsid w:val="009A1507"/>
    <w:rsid w:val="009C24DE"/>
    <w:rsid w:val="009C3369"/>
    <w:rsid w:val="009C4679"/>
    <w:rsid w:val="009D1B09"/>
    <w:rsid w:val="009D2C18"/>
    <w:rsid w:val="009F361C"/>
    <w:rsid w:val="009F393A"/>
    <w:rsid w:val="00A11900"/>
    <w:rsid w:val="00A200E3"/>
    <w:rsid w:val="00A202AE"/>
    <w:rsid w:val="00A4152D"/>
    <w:rsid w:val="00A42245"/>
    <w:rsid w:val="00A70A98"/>
    <w:rsid w:val="00A76614"/>
    <w:rsid w:val="00A84955"/>
    <w:rsid w:val="00AE705E"/>
    <w:rsid w:val="00B04B95"/>
    <w:rsid w:val="00B34887"/>
    <w:rsid w:val="00B36319"/>
    <w:rsid w:val="00B42C44"/>
    <w:rsid w:val="00B44019"/>
    <w:rsid w:val="00BC03F1"/>
    <w:rsid w:val="00BC3286"/>
    <w:rsid w:val="00BD4DAC"/>
    <w:rsid w:val="00C0066B"/>
    <w:rsid w:val="00C16D2C"/>
    <w:rsid w:val="00C1719F"/>
    <w:rsid w:val="00C21AC6"/>
    <w:rsid w:val="00C37502"/>
    <w:rsid w:val="00C40CF1"/>
    <w:rsid w:val="00C70EE5"/>
    <w:rsid w:val="00C71E69"/>
    <w:rsid w:val="00C85BBF"/>
    <w:rsid w:val="00CA5790"/>
    <w:rsid w:val="00CC4906"/>
    <w:rsid w:val="00CD0F9E"/>
    <w:rsid w:val="00CE7684"/>
    <w:rsid w:val="00CF71E6"/>
    <w:rsid w:val="00D10B09"/>
    <w:rsid w:val="00D4163B"/>
    <w:rsid w:val="00D65C2D"/>
    <w:rsid w:val="00DB1696"/>
    <w:rsid w:val="00DD7F46"/>
    <w:rsid w:val="00E16E24"/>
    <w:rsid w:val="00E4622A"/>
    <w:rsid w:val="00E63BC0"/>
    <w:rsid w:val="00EA0023"/>
    <w:rsid w:val="00EA6DDE"/>
    <w:rsid w:val="00EF0B6B"/>
    <w:rsid w:val="00EF6B9F"/>
    <w:rsid w:val="00F02125"/>
    <w:rsid w:val="00F567B5"/>
    <w:rsid w:val="00F60EBC"/>
    <w:rsid w:val="00F62652"/>
    <w:rsid w:val="00F70CD7"/>
    <w:rsid w:val="00F94F55"/>
    <w:rsid w:val="00F97EA9"/>
    <w:rsid w:val="00FB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90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652"/>
    <w:pPr>
      <w:spacing w:after="240" w:line="240" w:lineRule="auto"/>
    </w:pPr>
  </w:style>
  <w:style w:type="paragraph" w:styleId="Heading1">
    <w:name w:val="heading 1"/>
    <w:basedOn w:val="Normal"/>
    <w:next w:val="Heading2"/>
    <w:link w:val="Heading1Char"/>
    <w:qFormat/>
    <w:rsid w:val="008C6015"/>
    <w:pPr>
      <w:keepNext/>
      <w:keepLines/>
      <w:jc w:val="center"/>
      <w:outlineLvl w:val="0"/>
    </w:pPr>
    <w:rPr>
      <w:rFonts w:eastAsia="Times New Roman" w:cs="Times New Roman"/>
      <w:bCs/>
      <w:szCs w:val="32"/>
    </w:rPr>
  </w:style>
  <w:style w:type="paragraph" w:styleId="Heading2">
    <w:name w:val="heading 2"/>
    <w:basedOn w:val="Normal"/>
    <w:next w:val="Normal"/>
    <w:link w:val="Heading2Char"/>
    <w:uiPriority w:val="9"/>
    <w:semiHidden/>
    <w:unhideWhenUsed/>
    <w:qFormat/>
    <w:rsid w:val="008C60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6BD"/>
    <w:pPr>
      <w:tabs>
        <w:tab w:val="center" w:pos="4680"/>
        <w:tab w:val="right" w:pos="9360"/>
      </w:tabs>
      <w:spacing w:after="0"/>
    </w:pPr>
  </w:style>
  <w:style w:type="character" w:customStyle="1" w:styleId="HeaderChar">
    <w:name w:val="Header Char"/>
    <w:basedOn w:val="DefaultParagraphFont"/>
    <w:link w:val="Header"/>
    <w:uiPriority w:val="99"/>
    <w:rsid w:val="005516BD"/>
  </w:style>
  <w:style w:type="paragraph" w:styleId="Footer">
    <w:name w:val="footer"/>
    <w:basedOn w:val="Normal"/>
    <w:link w:val="FooterChar"/>
    <w:uiPriority w:val="99"/>
    <w:unhideWhenUsed/>
    <w:rsid w:val="005516BD"/>
    <w:pPr>
      <w:tabs>
        <w:tab w:val="center" w:pos="4680"/>
        <w:tab w:val="right" w:pos="9360"/>
      </w:tabs>
      <w:spacing w:after="0"/>
    </w:pPr>
  </w:style>
  <w:style w:type="character" w:customStyle="1" w:styleId="FooterChar">
    <w:name w:val="Footer Char"/>
    <w:basedOn w:val="DefaultParagraphFont"/>
    <w:link w:val="Footer"/>
    <w:uiPriority w:val="99"/>
    <w:rsid w:val="005516BD"/>
  </w:style>
  <w:style w:type="paragraph" w:customStyle="1" w:styleId="RAMRiderpara1">
    <w:name w:val="RAM Rider para 1."/>
    <w:basedOn w:val="Normal"/>
    <w:qFormat/>
    <w:rsid w:val="00F567B5"/>
  </w:style>
  <w:style w:type="paragraph" w:customStyle="1" w:styleId="RAMRiderpara11">
    <w:name w:val="RAM Rider para 1.1"/>
    <w:basedOn w:val="Normal"/>
    <w:qFormat/>
    <w:rsid w:val="00F567B5"/>
    <w:pPr>
      <w:ind w:firstLine="720"/>
    </w:pPr>
  </w:style>
  <w:style w:type="character" w:customStyle="1" w:styleId="Heading1Char">
    <w:name w:val="Heading 1 Char"/>
    <w:basedOn w:val="DefaultParagraphFont"/>
    <w:link w:val="Heading1"/>
    <w:rsid w:val="008C6015"/>
    <w:rPr>
      <w:rFonts w:eastAsia="Times New Roman" w:cs="Times New Roman"/>
      <w:bCs/>
      <w:szCs w:val="32"/>
    </w:rPr>
  </w:style>
  <w:style w:type="character" w:customStyle="1" w:styleId="Heading2Char">
    <w:name w:val="Heading 2 Char"/>
    <w:basedOn w:val="DefaultParagraphFont"/>
    <w:link w:val="Heading2"/>
    <w:uiPriority w:val="9"/>
    <w:semiHidden/>
    <w:rsid w:val="008C6015"/>
    <w:rPr>
      <w:rFonts w:asciiTheme="majorHAnsi" w:eastAsiaTheme="majorEastAsia" w:hAnsiTheme="majorHAnsi" w:cstheme="majorBidi"/>
      <w:b/>
      <w:bCs/>
      <w:color w:val="4F81BD" w:themeColor="accent1"/>
      <w:sz w:val="26"/>
      <w:szCs w:val="26"/>
    </w:rPr>
  </w:style>
  <w:style w:type="paragraph" w:customStyle="1" w:styleId="RAMPPAaparagraph">
    <w:name w:val="RAM PPA (a) paragraph"/>
    <w:basedOn w:val="Normal"/>
    <w:next w:val="Normal"/>
    <w:link w:val="RAMPPAaparagraphCharChar"/>
    <w:rsid w:val="008D750B"/>
    <w:pPr>
      <w:ind w:firstLine="1440"/>
    </w:pPr>
    <w:rPr>
      <w:rFonts w:eastAsia="Times New Roman" w:cs="Times New Roman"/>
      <w:szCs w:val="20"/>
    </w:rPr>
  </w:style>
  <w:style w:type="character" w:customStyle="1" w:styleId="RAMPPAaparagraphCharChar">
    <w:name w:val="RAM PPA (a) paragraph Char Char"/>
    <w:link w:val="RAMPPAaparagraph"/>
    <w:rsid w:val="008D750B"/>
    <w:rPr>
      <w:rFonts w:eastAsia="Times New Roman" w:cs="Times New Roman"/>
      <w:szCs w:val="20"/>
    </w:rPr>
  </w:style>
  <w:style w:type="paragraph" w:customStyle="1" w:styleId="RAMPPAiparagraph">
    <w:name w:val="RAM PPA (i) paragraph"/>
    <w:basedOn w:val="Normal"/>
    <w:next w:val="Normal"/>
    <w:rsid w:val="008D750B"/>
    <w:pPr>
      <w:ind w:firstLine="2160"/>
    </w:pPr>
    <w:rPr>
      <w:rFonts w:eastAsia="Times New Roman" w:cs="Times New Roman"/>
      <w:szCs w:val="20"/>
    </w:rPr>
  </w:style>
  <w:style w:type="paragraph" w:customStyle="1" w:styleId="RAMPPAAparagraph0">
    <w:name w:val="RAM PPA (A) paragraph"/>
    <w:basedOn w:val="Normal"/>
    <w:next w:val="Normal"/>
    <w:rsid w:val="000C3240"/>
    <w:pPr>
      <w:ind w:firstLine="288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9365</Words>
  <Characters>53384</Characters>
  <Application>Microsoft Office Word</Application>
  <DocSecurity>0</DocSecurity>
  <PresentationFormat>14|.DOCX</PresentationFormat>
  <Lines>444</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2016-06-14T20:41:00Z</cp:lastPrinted>
  <dcterms:created xsi:type="dcterms:W3CDTF">2018-07-31T00:10:00Z</dcterms:created>
  <dcterms:modified xsi:type="dcterms:W3CDTF">2018-07-31T17:04:00Z</dcterms:modified>
</cp:coreProperties>
</file>