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E65D3" w14:textId="4F9888B4" w:rsidR="00B7761C" w:rsidRDefault="00170C01" w:rsidP="00B7761C">
      <w:pPr>
        <w:jc w:val="center"/>
        <w:rPr>
          <w:b/>
          <w:bCs/>
        </w:rPr>
      </w:pPr>
      <w:r>
        <w:rPr>
          <w:b/>
          <w:bCs/>
        </w:rPr>
        <w:t>Zero</w:t>
      </w:r>
      <w:r w:rsidR="00C71321">
        <w:rPr>
          <w:b/>
          <w:bCs/>
        </w:rPr>
        <w:t xml:space="preserve"> </w:t>
      </w:r>
      <w:r>
        <w:rPr>
          <w:b/>
          <w:bCs/>
        </w:rPr>
        <w:t>Emitting Term Sheet</w:t>
      </w:r>
      <w:r>
        <w:rPr>
          <w:b/>
          <w:bCs/>
        </w:rPr>
        <w:br/>
      </w:r>
      <w:r w:rsidR="0014630A">
        <w:rPr>
          <w:b/>
          <w:bCs/>
        </w:rPr>
        <w:t>Hybrid Compensation</w:t>
      </w:r>
    </w:p>
    <w:p w14:paraId="297FB9B1" w14:textId="61CEEA2C" w:rsidR="000B43A5" w:rsidRPr="000B43A5" w:rsidRDefault="0014630A" w:rsidP="000B43A5">
      <w:r>
        <w:t xml:space="preserve">For hybrid projects, the contract will combine the commercial terms of the </w:t>
      </w:r>
      <w:r w:rsidR="002116AD">
        <w:t>Zero-Emitting</w:t>
      </w:r>
      <w:r>
        <w:t xml:space="preserve"> Term Sheet and PG&amp;E’s Long-term Resource Adequacy Agreement. The compensation will be structured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980"/>
        <w:gridCol w:w="6835"/>
      </w:tblGrid>
      <w:tr w:rsidR="00B7761C" w14:paraId="694B603C" w14:textId="77777777" w:rsidTr="00AA7666">
        <w:tc>
          <w:tcPr>
            <w:tcW w:w="535" w:type="dxa"/>
          </w:tcPr>
          <w:p w14:paraId="503CA2C7" w14:textId="76542CDB" w:rsidR="00B7761C" w:rsidRDefault="00B7761C" w:rsidP="0021209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14:paraId="413D98DD" w14:textId="73C22E4A" w:rsidR="00B7761C" w:rsidRDefault="00B66F7C">
            <w:r>
              <w:t>Payment Quantity</w:t>
            </w:r>
          </w:p>
        </w:tc>
        <w:tc>
          <w:tcPr>
            <w:tcW w:w="6835" w:type="dxa"/>
          </w:tcPr>
          <w:p w14:paraId="311B07DF" w14:textId="564C477C" w:rsidR="006A0911" w:rsidRDefault="00B66F7C" w:rsidP="006A0911">
            <w:r>
              <w:t>[</w:t>
            </w:r>
            <w:r>
              <w:rPr>
                <w:rFonts w:cstheme="minorHAnsi"/>
              </w:rPr>
              <w:t>●</w:t>
            </w:r>
            <w:r>
              <w:t>] MW</w:t>
            </w:r>
          </w:p>
          <w:p w14:paraId="731E37B0" w14:textId="6B9222C4" w:rsidR="00AD6DB9" w:rsidRDefault="00AD6DB9" w:rsidP="009A36A7"/>
        </w:tc>
      </w:tr>
      <w:tr w:rsidR="00B7761C" w14:paraId="050AB863" w14:textId="77777777" w:rsidTr="00AA7666">
        <w:tc>
          <w:tcPr>
            <w:tcW w:w="535" w:type="dxa"/>
          </w:tcPr>
          <w:p w14:paraId="0BB7BD09" w14:textId="77777777" w:rsidR="00B7761C" w:rsidRDefault="00B7761C" w:rsidP="0021209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14:paraId="22DBB094" w14:textId="35C5A1FD" w:rsidR="00B7761C" w:rsidRDefault="00B66F7C">
            <w:r>
              <w:t xml:space="preserve">Fixed </w:t>
            </w:r>
            <w:r w:rsidR="005962AB">
              <w:t xml:space="preserve">Contract </w:t>
            </w:r>
            <w:r>
              <w:t>Price</w:t>
            </w:r>
          </w:p>
        </w:tc>
        <w:tc>
          <w:tcPr>
            <w:tcW w:w="6835" w:type="dxa"/>
          </w:tcPr>
          <w:p w14:paraId="5E94C74E" w14:textId="06BD6104" w:rsidR="00AD6DB9" w:rsidRDefault="00B66F7C" w:rsidP="009A36A7">
            <w:r>
              <w:t>$[</w:t>
            </w:r>
            <w:r>
              <w:rPr>
                <w:rFonts w:cstheme="minorHAnsi"/>
              </w:rPr>
              <w:t>●</w:t>
            </w:r>
            <w:r>
              <w:t>]/kw-</w:t>
            </w:r>
            <w:proofErr w:type="spellStart"/>
            <w:r>
              <w:t>mo</w:t>
            </w:r>
            <w:proofErr w:type="spellEnd"/>
          </w:p>
          <w:p w14:paraId="6111DAFB" w14:textId="0437751F" w:rsidR="00B66F7C" w:rsidRDefault="00B66F7C" w:rsidP="009A36A7"/>
        </w:tc>
      </w:tr>
      <w:tr w:rsidR="00AE458C" w14:paraId="2370CDEC" w14:textId="77777777" w:rsidTr="00AA7666">
        <w:tc>
          <w:tcPr>
            <w:tcW w:w="535" w:type="dxa"/>
          </w:tcPr>
          <w:p w14:paraId="354D3882" w14:textId="77777777" w:rsidR="00AE458C" w:rsidRDefault="00AE458C" w:rsidP="0021209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14:paraId="6E7D9097" w14:textId="176AC068" w:rsidR="00AE458C" w:rsidRDefault="006A0911">
            <w:r>
              <w:t xml:space="preserve"> </w:t>
            </w:r>
            <w:r w:rsidR="00B66F7C">
              <w:t>Variable</w:t>
            </w:r>
            <w:r w:rsidR="005962AB">
              <w:t xml:space="preserve"> Contract</w:t>
            </w:r>
            <w:r w:rsidR="00B66F7C">
              <w:t xml:space="preserve"> Price</w:t>
            </w:r>
          </w:p>
        </w:tc>
        <w:tc>
          <w:tcPr>
            <w:tcW w:w="6835" w:type="dxa"/>
          </w:tcPr>
          <w:p w14:paraId="203ECC3D" w14:textId="70552675" w:rsidR="006A0911" w:rsidRDefault="00B66F7C" w:rsidP="006A0911">
            <w:r>
              <w:t>$[</w:t>
            </w:r>
            <w:r>
              <w:rPr>
                <w:rFonts w:cstheme="minorHAnsi"/>
              </w:rPr>
              <w:t>●</w:t>
            </w:r>
            <w:r>
              <w:t>]/MWh</w:t>
            </w:r>
          </w:p>
          <w:p w14:paraId="6220E7FD" w14:textId="64BE5740" w:rsidR="00AD6DB9" w:rsidRDefault="00AD6DB9" w:rsidP="009A36A7"/>
        </w:tc>
      </w:tr>
      <w:tr w:rsidR="005E5115" w14:paraId="6CEABA7C" w14:textId="77777777" w:rsidTr="00AA7666">
        <w:tc>
          <w:tcPr>
            <w:tcW w:w="535" w:type="dxa"/>
          </w:tcPr>
          <w:p w14:paraId="189946E5" w14:textId="77777777" w:rsidR="005E5115" w:rsidRDefault="005E5115" w:rsidP="009A36A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14:paraId="4B418181" w14:textId="159F142B" w:rsidR="005E5115" w:rsidRDefault="005E5115" w:rsidP="009A36A7">
            <w:r>
              <w:t>Confirmed Quantity</w:t>
            </w:r>
          </w:p>
        </w:tc>
        <w:tc>
          <w:tcPr>
            <w:tcW w:w="6835" w:type="dxa"/>
          </w:tcPr>
          <w:p w14:paraId="018E6644" w14:textId="77777777" w:rsidR="005E5115" w:rsidRDefault="005E5115" w:rsidP="009A36A7">
            <w:r>
              <w:t>For all Capacity Attributes of the Product that</w:t>
            </w:r>
            <w:r w:rsidRPr="0045254F">
              <w:t xml:space="preserve"> Seller deliver</w:t>
            </w:r>
            <w:r>
              <w:t>s</w:t>
            </w:r>
            <w:r w:rsidRPr="0045254F">
              <w:t>, Buyer shall pay Seller for the</w:t>
            </w:r>
            <w:r>
              <w:t xml:space="preserve"> </w:t>
            </w:r>
            <w:r w:rsidRPr="0045254F">
              <w:t>ratio of (</w:t>
            </w:r>
            <w:r>
              <w:t>a</w:t>
            </w:r>
            <w:r w:rsidRPr="0045254F">
              <w:t xml:space="preserve">) the </w:t>
            </w:r>
            <w:r>
              <w:t xml:space="preserve">sum of all Capacity Attributes of the </w:t>
            </w:r>
            <w:r w:rsidRPr="0045254F">
              <w:t>Delivered Quantit</w:t>
            </w:r>
            <w:r>
              <w:t>ies</w:t>
            </w:r>
            <w:r w:rsidRPr="0045254F">
              <w:t xml:space="preserve"> to (</w:t>
            </w:r>
            <w:r>
              <w:t>b</w:t>
            </w:r>
            <w:r w:rsidRPr="0045254F">
              <w:t xml:space="preserve">) </w:t>
            </w:r>
            <w:r>
              <w:t xml:space="preserve">the sum of all Capacity Attributes of the Product, all as </w:t>
            </w:r>
            <w:r w:rsidRPr="0045254F">
              <w:t>multiplied by (</w:t>
            </w:r>
            <w:r>
              <w:t>c</w:t>
            </w:r>
            <w:r w:rsidRPr="0045254F">
              <w:t>) the Payment Quantity</w:t>
            </w:r>
            <w:r>
              <w:t xml:space="preserve"> (“Confirmed Quantity”).</w:t>
            </w:r>
          </w:p>
          <w:p w14:paraId="2B120230" w14:textId="524A2586" w:rsidR="005E5115" w:rsidRDefault="005E5115" w:rsidP="009A36A7"/>
        </w:tc>
      </w:tr>
      <w:tr w:rsidR="00EE26E5" w14:paraId="6020A2A8" w14:textId="77777777" w:rsidTr="00AA7666">
        <w:tc>
          <w:tcPr>
            <w:tcW w:w="535" w:type="dxa"/>
          </w:tcPr>
          <w:p w14:paraId="36479457" w14:textId="77777777" w:rsidR="00EE26E5" w:rsidRDefault="00EE26E5" w:rsidP="009A36A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14:paraId="7312A69E" w14:textId="65D38A40" w:rsidR="00EE26E5" w:rsidRDefault="00EE26E5" w:rsidP="009A36A7">
            <w:r>
              <w:t>Proxy Quantity</w:t>
            </w:r>
          </w:p>
        </w:tc>
        <w:tc>
          <w:tcPr>
            <w:tcW w:w="6835" w:type="dxa"/>
          </w:tcPr>
          <w:p w14:paraId="15A45EB3" w14:textId="77777777" w:rsidR="00EE26E5" w:rsidRDefault="00EE26E5" w:rsidP="009A36A7">
            <w:r>
              <w:t>The hourly generation profile submitted in the Offer Form in connection with PG&amp;E’s MTR RFO.</w:t>
            </w:r>
          </w:p>
          <w:p w14:paraId="2D8EF383" w14:textId="417A8DF2" w:rsidR="00EE26E5" w:rsidRDefault="00EE26E5" w:rsidP="009A36A7"/>
        </w:tc>
      </w:tr>
      <w:tr w:rsidR="00EE26E5" w14:paraId="04DAFF54" w14:textId="77777777" w:rsidTr="00AA7666">
        <w:tc>
          <w:tcPr>
            <w:tcW w:w="535" w:type="dxa"/>
          </w:tcPr>
          <w:p w14:paraId="10CA8ACA" w14:textId="77777777" w:rsidR="00EE26E5" w:rsidRDefault="00EE26E5" w:rsidP="009A36A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14:paraId="453B1850" w14:textId="56C09F3E" w:rsidR="00EE26E5" w:rsidRDefault="00EE26E5" w:rsidP="009A36A7">
            <w:r>
              <w:t>Meter Quantity</w:t>
            </w:r>
          </w:p>
        </w:tc>
        <w:tc>
          <w:tcPr>
            <w:tcW w:w="6835" w:type="dxa"/>
          </w:tcPr>
          <w:p w14:paraId="14C64B4D" w14:textId="77777777" w:rsidR="00EE26E5" w:rsidRDefault="00EE26E5" w:rsidP="00EE26E5">
            <w:r>
              <w:t>The amount of Energy generated by the Project and delivered to the point of interconnection to the CAISO-controlled grid, as measured by the Project’s CAISO revenue meter.</w:t>
            </w:r>
          </w:p>
          <w:p w14:paraId="07207FFF" w14:textId="77777777" w:rsidR="00EE26E5" w:rsidRDefault="00EE26E5" w:rsidP="009A36A7"/>
        </w:tc>
      </w:tr>
      <w:tr w:rsidR="000B43A5" w14:paraId="6B14A839" w14:textId="77777777" w:rsidTr="00AA7666">
        <w:tc>
          <w:tcPr>
            <w:tcW w:w="535" w:type="dxa"/>
          </w:tcPr>
          <w:p w14:paraId="3BB8F5B3" w14:textId="77777777" w:rsidR="000B43A5" w:rsidRDefault="000B43A5" w:rsidP="009A36A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14:paraId="41B6AB18" w14:textId="46ED39FA" w:rsidR="000B43A5" w:rsidRDefault="000B43A5" w:rsidP="009A36A7">
            <w:r>
              <w:t>Market Price</w:t>
            </w:r>
          </w:p>
        </w:tc>
        <w:tc>
          <w:tcPr>
            <w:tcW w:w="6835" w:type="dxa"/>
          </w:tcPr>
          <w:p w14:paraId="5964E5EF" w14:textId="77777777" w:rsidR="000B43A5" w:rsidRDefault="000B43A5" w:rsidP="009A36A7">
            <w:r>
              <w:t>Day-Ahead price expressed in $/MWh at the Settlement Point.</w:t>
            </w:r>
          </w:p>
          <w:p w14:paraId="17CE941C" w14:textId="5A67C106" w:rsidR="000B43A5" w:rsidRDefault="000B43A5" w:rsidP="009A36A7"/>
        </w:tc>
      </w:tr>
      <w:tr w:rsidR="000B43A5" w14:paraId="03343BAB" w14:textId="77777777" w:rsidTr="00AA7666">
        <w:tc>
          <w:tcPr>
            <w:tcW w:w="535" w:type="dxa"/>
          </w:tcPr>
          <w:p w14:paraId="607DDFB0" w14:textId="77777777" w:rsidR="000B43A5" w:rsidRDefault="000B43A5" w:rsidP="009A36A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14:paraId="57FB5880" w14:textId="5020C3BD" w:rsidR="000B43A5" w:rsidRDefault="000B43A5" w:rsidP="009A36A7">
            <w:r>
              <w:t>Settlement Point</w:t>
            </w:r>
          </w:p>
        </w:tc>
        <w:tc>
          <w:tcPr>
            <w:tcW w:w="6835" w:type="dxa"/>
          </w:tcPr>
          <w:p w14:paraId="1A30C02B" w14:textId="77777777" w:rsidR="000B43A5" w:rsidRDefault="000B43A5" w:rsidP="009A36A7">
            <w:r>
              <w:t>Project P-node</w:t>
            </w:r>
          </w:p>
          <w:p w14:paraId="607F001D" w14:textId="3F28C595" w:rsidR="000B43A5" w:rsidRDefault="000B43A5" w:rsidP="009A36A7"/>
        </w:tc>
      </w:tr>
      <w:tr w:rsidR="009A36A7" w14:paraId="7024C703" w14:textId="77777777" w:rsidTr="00AA7666">
        <w:tc>
          <w:tcPr>
            <w:tcW w:w="535" w:type="dxa"/>
          </w:tcPr>
          <w:p w14:paraId="7C5B14D8" w14:textId="77777777" w:rsidR="009A36A7" w:rsidRDefault="009A36A7" w:rsidP="009A36A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14:paraId="4D3BA751" w14:textId="6527C542" w:rsidR="009A36A7" w:rsidRDefault="00B66F7C" w:rsidP="009A36A7">
            <w:r>
              <w:t>Compensation</w:t>
            </w:r>
          </w:p>
        </w:tc>
        <w:tc>
          <w:tcPr>
            <w:tcW w:w="6835" w:type="dxa"/>
          </w:tcPr>
          <w:p w14:paraId="35159D44" w14:textId="7E749CC3" w:rsidR="009A36A7" w:rsidRDefault="00B66F7C" w:rsidP="009A36A7">
            <w:r>
              <w:t>Monthly Payment (“M</w:t>
            </w:r>
            <w:r w:rsidR="005E5115">
              <w:t>O</w:t>
            </w:r>
            <w:r>
              <w:t xml:space="preserve">P”) to Seller </w:t>
            </w:r>
            <w:r w:rsidR="005E5115">
              <w:t>will be calculated as:</w:t>
            </w:r>
          </w:p>
          <w:p w14:paraId="45292D2E" w14:textId="57B71048" w:rsidR="005E5115" w:rsidRDefault="005E5115" w:rsidP="009A36A7"/>
          <w:p w14:paraId="24F87A71" w14:textId="5A72BAC9" w:rsidR="005E5115" w:rsidRDefault="005E5115" w:rsidP="009A36A7">
            <w:proofErr w:type="spellStart"/>
            <w:r>
              <w:t>MOP</w:t>
            </w:r>
            <w:r w:rsidRPr="006424CD">
              <w:rPr>
                <w:vertAlign w:val="subscript"/>
              </w:rPr>
              <w:t>m</w:t>
            </w:r>
            <w:proofErr w:type="spellEnd"/>
            <w:r>
              <w:t xml:space="preserve"> = (</w:t>
            </w:r>
            <w:proofErr w:type="spellStart"/>
            <w:r>
              <w:t>FP</w:t>
            </w:r>
            <w:r w:rsidRPr="006424CD">
              <w:rPr>
                <w:vertAlign w:val="subscript"/>
              </w:rPr>
              <w:t>m</w:t>
            </w:r>
            <w:proofErr w:type="spellEnd"/>
            <w:r>
              <w:t xml:space="preserve"> * </w:t>
            </w:r>
            <w:proofErr w:type="spellStart"/>
            <w:r>
              <w:t>FQ</w:t>
            </w:r>
            <w:r w:rsidRPr="006424CD">
              <w:rPr>
                <w:vertAlign w:val="subscript"/>
              </w:rPr>
              <w:t>m</w:t>
            </w:r>
            <w:proofErr w:type="spellEnd"/>
            <w:r>
              <w:t xml:space="preserve">) – </w:t>
            </w:r>
            <w:proofErr w:type="spellStart"/>
            <w:r>
              <w:t>ES</w:t>
            </w:r>
            <w:r w:rsidRPr="006424CD">
              <w:rPr>
                <w:vertAlign w:val="subscript"/>
              </w:rPr>
              <w:t>m</w:t>
            </w:r>
            <w:proofErr w:type="spellEnd"/>
            <w:r>
              <w:t xml:space="preserve"> + </w:t>
            </w:r>
            <w:proofErr w:type="spellStart"/>
            <w:r>
              <w:t>MP</w:t>
            </w:r>
            <w:r w:rsidRPr="006424CD">
              <w:rPr>
                <w:vertAlign w:val="subscript"/>
              </w:rPr>
              <w:t>m</w:t>
            </w:r>
            <w:proofErr w:type="spellEnd"/>
          </w:p>
          <w:p w14:paraId="5AFE6FD1" w14:textId="6E147C71" w:rsidR="005E5115" w:rsidRDefault="005E5115" w:rsidP="009A36A7"/>
          <w:p w14:paraId="22F6DAE3" w14:textId="33AF0F1A" w:rsidR="005E5115" w:rsidRDefault="000B43A5" w:rsidP="009A36A7">
            <w:proofErr w:type="gramStart"/>
            <w:r>
              <w:t>w</w:t>
            </w:r>
            <w:r w:rsidR="005E5115">
              <w:t>here</w:t>
            </w:r>
            <w:proofErr w:type="gramEnd"/>
            <w:r w:rsidR="005E5115">
              <w:t>,</w:t>
            </w:r>
          </w:p>
          <w:p w14:paraId="74C95C58" w14:textId="6BE89580" w:rsidR="005E5115" w:rsidRDefault="005E5115" w:rsidP="009A36A7"/>
          <w:p w14:paraId="54BC4151" w14:textId="404C47F3" w:rsidR="005E5115" w:rsidRDefault="005E5115" w:rsidP="009A36A7">
            <w:proofErr w:type="spellStart"/>
            <w:r>
              <w:t>FP</w:t>
            </w:r>
            <w:r w:rsidRPr="006424CD">
              <w:rPr>
                <w:vertAlign w:val="subscript"/>
              </w:rPr>
              <w:t>m</w:t>
            </w:r>
            <w:proofErr w:type="spellEnd"/>
            <w:r>
              <w:t xml:space="preserve"> = Fixed </w:t>
            </w:r>
            <w:r w:rsidR="005962AB">
              <w:t xml:space="preserve">Contract </w:t>
            </w:r>
            <w:r>
              <w:t>Price for month m</w:t>
            </w:r>
          </w:p>
          <w:p w14:paraId="334EBFDC" w14:textId="6021DAA1" w:rsidR="005E5115" w:rsidRDefault="005E5115" w:rsidP="009A36A7">
            <w:proofErr w:type="spellStart"/>
            <w:r>
              <w:t>FQ</w:t>
            </w:r>
            <w:r w:rsidRPr="006424CD">
              <w:rPr>
                <w:vertAlign w:val="subscript"/>
              </w:rPr>
              <w:t>m</w:t>
            </w:r>
            <w:proofErr w:type="spellEnd"/>
            <w:r>
              <w:t xml:space="preserve"> = Confirmed Quantity for month m</w:t>
            </w:r>
          </w:p>
          <w:p w14:paraId="0DCD2A3C" w14:textId="277548B1" w:rsidR="005E5115" w:rsidRDefault="005E5115" w:rsidP="009A36A7">
            <w:proofErr w:type="spellStart"/>
            <w:r>
              <w:t>ES</w:t>
            </w:r>
            <w:r w:rsidRPr="006424CD">
              <w:rPr>
                <w:vertAlign w:val="subscript"/>
              </w:rPr>
              <w:t>m</w:t>
            </w:r>
            <w:proofErr w:type="spellEnd"/>
            <w:r>
              <w:t xml:space="preserve"> = Energy Settlement for month m</w:t>
            </w:r>
          </w:p>
          <w:p w14:paraId="597265BF" w14:textId="5C26AE43" w:rsidR="005E5115" w:rsidRDefault="005E5115" w:rsidP="009A36A7">
            <w:proofErr w:type="spellStart"/>
            <w:r>
              <w:t>MP</w:t>
            </w:r>
            <w:r w:rsidRPr="006424CD">
              <w:rPr>
                <w:vertAlign w:val="subscript"/>
              </w:rPr>
              <w:t>m</w:t>
            </w:r>
            <w:proofErr w:type="spellEnd"/>
            <w:r>
              <w:t xml:space="preserve"> = Meter Payment for month m</w:t>
            </w:r>
          </w:p>
          <w:p w14:paraId="7AB4CCDC" w14:textId="77777777" w:rsidR="005E5115" w:rsidRDefault="005E5115" w:rsidP="009A36A7"/>
          <w:p w14:paraId="2DE02954" w14:textId="5AAEECAF" w:rsidR="005E5115" w:rsidRDefault="005E5115" w:rsidP="009A36A7">
            <w:r>
              <w:t>Energy Settlement will be calculated as:</w:t>
            </w:r>
          </w:p>
          <w:p w14:paraId="03BADB8E" w14:textId="0B2CA81A" w:rsidR="005E5115" w:rsidRDefault="005E5115" w:rsidP="009A36A7"/>
          <w:p w14:paraId="4B399FB9" w14:textId="6FECF34E" w:rsidR="005E5115" w:rsidRDefault="005E5115" w:rsidP="00EE26E5">
            <w:proofErr w:type="spellStart"/>
            <w:r>
              <w:t>ES</w:t>
            </w:r>
            <w:r w:rsidRPr="006424CD">
              <w:rPr>
                <w:vertAlign w:val="subscript"/>
              </w:rPr>
              <w:t>m</w:t>
            </w:r>
            <w:proofErr w:type="spellEnd"/>
            <w:r>
              <w:t xml:space="preserve"> = </w:t>
            </w:r>
            <w:r w:rsidRPr="0072721F">
              <w:rPr>
                <w:rFonts w:cstheme="minorHAnsi"/>
                <w:sz w:val="24"/>
                <w:szCs w:val="24"/>
              </w:rPr>
              <w:t>Σ</w:t>
            </w:r>
            <w:r>
              <w:rPr>
                <w:rFonts w:cstheme="minorHAnsi"/>
              </w:rPr>
              <w:t xml:space="preserve"> </w:t>
            </w:r>
            <w:proofErr w:type="spellStart"/>
            <w:r w:rsidR="00EE26E5">
              <w:rPr>
                <w:rFonts w:cstheme="minorHAnsi"/>
              </w:rPr>
              <w:t>ES</w:t>
            </w:r>
            <w:r w:rsidR="00EE26E5" w:rsidRPr="006424CD">
              <w:rPr>
                <w:rFonts w:cstheme="minorHAnsi"/>
                <w:vertAlign w:val="subscript"/>
              </w:rPr>
              <w:t>d</w:t>
            </w:r>
            <w:proofErr w:type="spellEnd"/>
          </w:p>
          <w:p w14:paraId="4947AB63" w14:textId="703EEDA5" w:rsidR="005E5115" w:rsidRDefault="005E5115" w:rsidP="009A36A7"/>
          <w:p w14:paraId="392FCBF4" w14:textId="3BDEADB2" w:rsidR="00EE26E5" w:rsidRDefault="00EE26E5" w:rsidP="009A36A7">
            <w:proofErr w:type="gramStart"/>
            <w:r>
              <w:t>where</w:t>
            </w:r>
            <w:proofErr w:type="gramEnd"/>
          </w:p>
          <w:p w14:paraId="68BA5862" w14:textId="07A43266" w:rsidR="00EE26E5" w:rsidRDefault="00EE26E5" w:rsidP="009A36A7"/>
          <w:p w14:paraId="4790391D" w14:textId="2B7B61AC" w:rsidR="00EE26E5" w:rsidRDefault="00EE26E5" w:rsidP="009A36A7">
            <w:r w:rsidRPr="0072721F">
              <w:rPr>
                <w:rFonts w:cstheme="minorHAnsi"/>
                <w:sz w:val="24"/>
                <w:szCs w:val="24"/>
              </w:rPr>
              <w:lastRenderedPageBreak/>
              <w:t>Σ</w:t>
            </w:r>
            <w:r>
              <w:rPr>
                <w:rFonts w:cstheme="minorHAnsi"/>
              </w:rPr>
              <w:t xml:space="preserve"> = the sum from d = 1 </w:t>
            </w:r>
            <w:proofErr w:type="spellStart"/>
            <w:r>
              <w:rPr>
                <w:rFonts w:cstheme="minorHAnsi"/>
              </w:rPr>
              <w:t>to n</w:t>
            </w:r>
            <w:proofErr w:type="spellEnd"/>
            <w:r>
              <w:rPr>
                <w:rFonts w:cstheme="minorHAnsi"/>
              </w:rPr>
              <w:t>, where n = number of days in a month</w:t>
            </w:r>
          </w:p>
          <w:p w14:paraId="02C97A8D" w14:textId="3F1C8237" w:rsidR="00EE26E5" w:rsidRDefault="00EE26E5" w:rsidP="009A36A7">
            <w:proofErr w:type="spellStart"/>
            <w:r>
              <w:t>ES</w:t>
            </w:r>
            <w:r w:rsidRPr="006424CD">
              <w:rPr>
                <w:vertAlign w:val="subscript"/>
              </w:rPr>
              <w:t>d</w:t>
            </w:r>
            <w:proofErr w:type="spellEnd"/>
            <w:r>
              <w:t xml:space="preserve"> = </w:t>
            </w:r>
            <w:r>
              <w:rPr>
                <w:rFonts w:cstheme="minorHAnsi"/>
              </w:rPr>
              <w:t>Σ</w:t>
            </w:r>
            <w:r>
              <w:t xml:space="preserve"> </w:t>
            </w:r>
            <w:proofErr w:type="spellStart"/>
            <w:r>
              <w:t>DA</w:t>
            </w:r>
            <w:r w:rsidRPr="006424CD">
              <w:rPr>
                <w:vertAlign w:val="subscript"/>
              </w:rPr>
              <w:t>i</w:t>
            </w:r>
            <w:proofErr w:type="spellEnd"/>
            <w:r>
              <w:t xml:space="preserve"> * </w:t>
            </w:r>
            <w:proofErr w:type="spellStart"/>
            <w:r>
              <w:t>PQ</w:t>
            </w:r>
            <w:r w:rsidRPr="006424CD">
              <w:rPr>
                <w:vertAlign w:val="subscript"/>
              </w:rPr>
              <w:t>i</w:t>
            </w:r>
            <w:proofErr w:type="spellEnd"/>
          </w:p>
          <w:p w14:paraId="75A0CBA0" w14:textId="2C125154" w:rsidR="00EE26E5" w:rsidRDefault="00EE26E5" w:rsidP="009A36A7"/>
          <w:p w14:paraId="55C6BC63" w14:textId="6D649EBE" w:rsidR="00EE26E5" w:rsidRDefault="00EE26E5" w:rsidP="009A36A7">
            <w:proofErr w:type="gramStart"/>
            <w:r>
              <w:t>where</w:t>
            </w:r>
            <w:proofErr w:type="gramEnd"/>
          </w:p>
          <w:p w14:paraId="6701DB3A" w14:textId="327423AD" w:rsidR="005E5115" w:rsidRDefault="005E5115" w:rsidP="009A36A7"/>
          <w:p w14:paraId="2C897632" w14:textId="73688B69" w:rsidR="00EE26E5" w:rsidRDefault="00EE26E5" w:rsidP="009A36A7">
            <w:proofErr w:type="spellStart"/>
            <w:r>
              <w:t>ES</w:t>
            </w:r>
            <w:r w:rsidRPr="006424CD">
              <w:rPr>
                <w:vertAlign w:val="subscript"/>
              </w:rPr>
              <w:t>d</w:t>
            </w:r>
            <w:proofErr w:type="spellEnd"/>
            <w:r>
              <w:t xml:space="preserve"> = Energy Settlement for day d</w:t>
            </w:r>
          </w:p>
          <w:p w14:paraId="4B859014" w14:textId="7E8A0AC4" w:rsidR="005E5115" w:rsidRDefault="00EE26E5" w:rsidP="009A36A7">
            <w:pPr>
              <w:rPr>
                <w:rFonts w:cstheme="minorHAnsi"/>
              </w:rPr>
            </w:pPr>
            <w:r w:rsidRPr="0072721F">
              <w:rPr>
                <w:rFonts w:cstheme="minorHAnsi"/>
                <w:sz w:val="24"/>
                <w:szCs w:val="24"/>
              </w:rPr>
              <w:t>Σ</w:t>
            </w:r>
            <w:r>
              <w:rPr>
                <w:rFonts w:cstheme="minorHAnsi"/>
              </w:rPr>
              <w:t xml:space="preserve"> = sum from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>=1 to h, where h = number of hours in a day</w:t>
            </w:r>
          </w:p>
          <w:p w14:paraId="10CBFF63" w14:textId="4877CB96" w:rsidR="00EE26E5" w:rsidRDefault="00EE26E5" w:rsidP="009A36A7">
            <w:proofErr w:type="spellStart"/>
            <w:r>
              <w:t>DA</w:t>
            </w:r>
            <w:r w:rsidRPr="006424CD">
              <w:rPr>
                <w:vertAlign w:val="subscript"/>
              </w:rPr>
              <w:t>i</w:t>
            </w:r>
            <w:proofErr w:type="spellEnd"/>
            <w:r>
              <w:t xml:space="preserve"> = </w:t>
            </w:r>
            <w:r w:rsidR="000B43A5">
              <w:t>Market</w:t>
            </w:r>
            <w:r>
              <w:t xml:space="preserve"> </w:t>
            </w:r>
            <w:r w:rsidR="000B43A5">
              <w:t>P</w:t>
            </w:r>
            <w:r>
              <w:t xml:space="preserve">rice for hour </w:t>
            </w:r>
            <w:proofErr w:type="spellStart"/>
            <w:r>
              <w:t>i</w:t>
            </w:r>
            <w:proofErr w:type="spellEnd"/>
          </w:p>
          <w:p w14:paraId="2CF2FC34" w14:textId="4A6AF826" w:rsidR="00EE26E5" w:rsidRDefault="00EE26E5" w:rsidP="009A36A7">
            <w:proofErr w:type="spellStart"/>
            <w:r>
              <w:t>PQ</w:t>
            </w:r>
            <w:r w:rsidRPr="006424CD">
              <w:rPr>
                <w:vertAlign w:val="subscript"/>
              </w:rPr>
              <w:t>i</w:t>
            </w:r>
            <w:proofErr w:type="spellEnd"/>
            <w:r>
              <w:t xml:space="preserve"> = Proxy Quantity for hour </w:t>
            </w:r>
            <w:proofErr w:type="spellStart"/>
            <w:r>
              <w:t>i</w:t>
            </w:r>
            <w:proofErr w:type="spellEnd"/>
          </w:p>
          <w:p w14:paraId="04BEA30C" w14:textId="2081C3A6" w:rsidR="00EE26E5" w:rsidRDefault="00EE26E5" w:rsidP="009A36A7"/>
          <w:p w14:paraId="2D3B8B4D" w14:textId="7B4514E0" w:rsidR="00EE26E5" w:rsidRDefault="00EE26E5" w:rsidP="009A36A7">
            <w:r>
              <w:t>Meter Payment will be calculated as:</w:t>
            </w:r>
          </w:p>
          <w:p w14:paraId="4ECAE44F" w14:textId="58A58E21" w:rsidR="00EE26E5" w:rsidRDefault="00EE26E5" w:rsidP="009A36A7"/>
          <w:p w14:paraId="624A6340" w14:textId="29E57CE9" w:rsidR="00EE26E5" w:rsidRDefault="00EE26E5" w:rsidP="009A36A7">
            <w:proofErr w:type="spellStart"/>
            <w:r>
              <w:t>MP</w:t>
            </w:r>
            <w:r w:rsidRPr="006424CD">
              <w:rPr>
                <w:vertAlign w:val="subscript"/>
              </w:rPr>
              <w:t>m</w:t>
            </w:r>
            <w:proofErr w:type="spellEnd"/>
            <w:r>
              <w:t xml:space="preserve"> = VP * </w:t>
            </w:r>
            <w:proofErr w:type="spellStart"/>
            <w:r>
              <w:t>MQ</w:t>
            </w:r>
            <w:r w:rsidRPr="006424CD">
              <w:rPr>
                <w:vertAlign w:val="subscript"/>
              </w:rPr>
              <w:t>m</w:t>
            </w:r>
            <w:proofErr w:type="spellEnd"/>
          </w:p>
          <w:p w14:paraId="63F5AED7" w14:textId="634150C9" w:rsidR="00EE26E5" w:rsidRDefault="00EE26E5" w:rsidP="009A36A7"/>
          <w:p w14:paraId="5BC51153" w14:textId="211EE225" w:rsidR="00EE26E5" w:rsidRDefault="00EE26E5" w:rsidP="009A36A7">
            <w:proofErr w:type="gramStart"/>
            <w:r>
              <w:t>where</w:t>
            </w:r>
            <w:proofErr w:type="gramEnd"/>
          </w:p>
          <w:p w14:paraId="011ABEDC" w14:textId="7A18A422" w:rsidR="00EE26E5" w:rsidRDefault="00EE26E5" w:rsidP="009A36A7"/>
          <w:p w14:paraId="1E5D9E9F" w14:textId="3539A474" w:rsidR="00EE26E5" w:rsidRDefault="00EE26E5" w:rsidP="009A36A7">
            <w:r>
              <w:t xml:space="preserve">VP = Variable </w:t>
            </w:r>
            <w:r w:rsidR="005962AB">
              <w:t xml:space="preserve">Contract </w:t>
            </w:r>
            <w:r>
              <w:t>Price</w:t>
            </w:r>
          </w:p>
          <w:p w14:paraId="04C5697A" w14:textId="55405DF2" w:rsidR="00EE26E5" w:rsidRDefault="00EE26E5" w:rsidP="009A36A7">
            <w:proofErr w:type="spellStart"/>
            <w:r>
              <w:t>MQ</w:t>
            </w:r>
            <w:r w:rsidRPr="006424CD">
              <w:rPr>
                <w:vertAlign w:val="subscript"/>
              </w:rPr>
              <w:t>m</w:t>
            </w:r>
            <w:proofErr w:type="spellEnd"/>
            <w:r>
              <w:t xml:space="preserve"> = Meter Quantity for month m</w:t>
            </w:r>
          </w:p>
          <w:p w14:paraId="048EAA38" w14:textId="25FB4F15" w:rsidR="00EF7FB5" w:rsidRDefault="00EF7FB5" w:rsidP="009A36A7"/>
        </w:tc>
      </w:tr>
      <w:tr w:rsidR="000B43A5" w14:paraId="701062D6" w14:textId="77777777" w:rsidTr="00AA7666">
        <w:tc>
          <w:tcPr>
            <w:tcW w:w="535" w:type="dxa"/>
          </w:tcPr>
          <w:p w14:paraId="31E951C5" w14:textId="77777777" w:rsidR="000B43A5" w:rsidRDefault="000B43A5" w:rsidP="009A36A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14:paraId="5EF2C6B6" w14:textId="3DFF8186" w:rsidR="000B43A5" w:rsidRDefault="000B43A5" w:rsidP="009A36A7">
            <w:r>
              <w:t>Charging Energy</w:t>
            </w:r>
          </w:p>
        </w:tc>
        <w:tc>
          <w:tcPr>
            <w:tcW w:w="6835" w:type="dxa"/>
          </w:tcPr>
          <w:p w14:paraId="623B386E" w14:textId="6820200F" w:rsidR="000B43A5" w:rsidRDefault="000B43A5" w:rsidP="009A36A7">
            <w:r>
              <w:t xml:space="preserve">All charging energy must be from the renewable resource. The storage </w:t>
            </w:r>
            <w:r w:rsidR="00E6474F">
              <w:t xml:space="preserve">resource </w:t>
            </w:r>
            <w:r>
              <w:t>cannot be charged from the grid.</w:t>
            </w:r>
          </w:p>
          <w:p w14:paraId="22BE0D49" w14:textId="3B7DBFFE" w:rsidR="000B43A5" w:rsidRDefault="000B43A5" w:rsidP="009A36A7"/>
        </w:tc>
      </w:tr>
    </w:tbl>
    <w:p w14:paraId="256BB45B" w14:textId="77777777" w:rsidR="000345F8" w:rsidRDefault="000345F8"/>
    <w:sectPr w:rsidR="000345F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6104E" w14:textId="77777777" w:rsidR="00F152D5" w:rsidRDefault="00F152D5" w:rsidP="00FE4CDA">
      <w:pPr>
        <w:spacing w:after="0" w:line="240" w:lineRule="auto"/>
      </w:pPr>
      <w:r>
        <w:separator/>
      </w:r>
    </w:p>
  </w:endnote>
  <w:endnote w:type="continuationSeparator" w:id="0">
    <w:p w14:paraId="40AC56E6" w14:textId="77777777" w:rsidR="00F152D5" w:rsidRDefault="00F152D5" w:rsidP="00FE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4F28" w14:textId="77777777" w:rsidR="00F152D5" w:rsidRDefault="00F152D5" w:rsidP="00FE4CDA">
      <w:pPr>
        <w:spacing w:after="0" w:line="240" w:lineRule="auto"/>
      </w:pPr>
      <w:r>
        <w:separator/>
      </w:r>
    </w:p>
  </w:footnote>
  <w:footnote w:type="continuationSeparator" w:id="0">
    <w:p w14:paraId="64B4BF03" w14:textId="77777777" w:rsidR="00F152D5" w:rsidRDefault="00F152D5" w:rsidP="00FE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C464" w14:textId="7A8F67D7" w:rsidR="00B208F3" w:rsidRPr="001A7D94" w:rsidRDefault="00B208F3" w:rsidP="00B208F3">
    <w:pPr>
      <w:pStyle w:val="Header"/>
      <w:rPr>
        <w:bCs/>
      </w:rPr>
    </w:pPr>
    <w:r w:rsidRPr="001A7D94">
      <w:rPr>
        <w:bCs/>
      </w:rPr>
      <w:t>PG&amp;E</w:t>
    </w:r>
    <w:r w:rsidRPr="001A7D94">
      <w:rPr>
        <w:bCs/>
      </w:rPr>
      <w:tab/>
    </w:r>
    <w:r w:rsidRPr="001A7D94">
      <w:rPr>
        <w:bCs/>
      </w:rPr>
      <w:tab/>
      <w:t xml:space="preserve">Appendix </w:t>
    </w:r>
    <w:r>
      <w:rPr>
        <w:bCs/>
      </w:rPr>
      <w:t>E</w:t>
    </w:r>
    <w:r>
      <w:rPr>
        <w:bCs/>
      </w:rPr>
      <w:t>2</w:t>
    </w:r>
  </w:p>
  <w:p w14:paraId="296B0047" w14:textId="77777777" w:rsidR="00B208F3" w:rsidRPr="001A7D94" w:rsidRDefault="00B208F3" w:rsidP="00B208F3">
    <w:pPr>
      <w:pStyle w:val="Header"/>
      <w:rPr>
        <w:bCs/>
      </w:rPr>
    </w:pPr>
  </w:p>
  <w:p w14:paraId="4D013D98" w14:textId="3B0588A0" w:rsidR="00B208F3" w:rsidRDefault="00B208F3">
    <w:pPr>
      <w:pStyle w:val="Header"/>
      <w:rPr>
        <w:rStyle w:val="normaltextrun"/>
        <w:rFonts w:ascii="Calibri" w:hAnsi="Calibri" w:cs="Calibri"/>
        <w:color w:val="000000"/>
        <w:shd w:val="clear" w:color="auto" w:fill="FFFFFF"/>
      </w:rPr>
    </w:pPr>
    <w:r w:rsidRPr="001A7D94">
      <w:rPr>
        <w:bCs/>
      </w:rPr>
      <w:t xml:space="preserve">Mid-Term Reliability RFO – Phase </w:t>
    </w:r>
    <w:r>
      <w:rPr>
        <w:bCs/>
      </w:rPr>
      <w:t>2</w:t>
    </w:r>
    <w:r w:rsidRPr="001A7D94">
      <w:rPr>
        <w:bCs/>
      </w:rPr>
      <w:tab/>
    </w:r>
    <w:r w:rsidRPr="001A7D94">
      <w:rPr>
        <w:bCs/>
      </w:rPr>
      <w:tab/>
    </w:r>
    <w:r>
      <w:rPr>
        <w:bCs/>
      </w:rPr>
      <w:t xml:space="preserve">Hybrid </w:t>
    </w:r>
    <w:r>
      <w:rPr>
        <w:rStyle w:val="normaltextrun"/>
        <w:rFonts w:ascii="Calibri" w:hAnsi="Calibri" w:cs="Calibri"/>
        <w:color w:val="000000"/>
        <w:shd w:val="clear" w:color="auto" w:fill="FFFFFF"/>
      </w:rPr>
      <w:t>Zero Emitting Generation Term Sheet</w:t>
    </w:r>
  </w:p>
  <w:p w14:paraId="5E57354B" w14:textId="77777777" w:rsidR="00B208F3" w:rsidRPr="00B208F3" w:rsidRDefault="00B208F3">
    <w:pPr>
      <w:pStyle w:val="Header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3890"/>
    <w:multiLevelType w:val="hybridMultilevel"/>
    <w:tmpl w:val="568CB04A"/>
    <w:lvl w:ilvl="0" w:tplc="26FA90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73707"/>
    <w:multiLevelType w:val="hybridMultilevel"/>
    <w:tmpl w:val="F1CA7680"/>
    <w:lvl w:ilvl="0" w:tplc="BCD017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84208"/>
    <w:multiLevelType w:val="hybridMultilevel"/>
    <w:tmpl w:val="DE087DC4"/>
    <w:lvl w:ilvl="0" w:tplc="1F0A1E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6522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C5866"/>
    <w:multiLevelType w:val="hybridMultilevel"/>
    <w:tmpl w:val="29B2E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52DFF"/>
    <w:multiLevelType w:val="hybridMultilevel"/>
    <w:tmpl w:val="27263840"/>
    <w:lvl w:ilvl="0" w:tplc="1C380F4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156EE"/>
    <w:multiLevelType w:val="hybridMultilevel"/>
    <w:tmpl w:val="54FEF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F39E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21F1B"/>
    <w:multiLevelType w:val="hybridMultilevel"/>
    <w:tmpl w:val="1EBC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529E2"/>
    <w:multiLevelType w:val="hybridMultilevel"/>
    <w:tmpl w:val="E1FE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E2AE4"/>
    <w:multiLevelType w:val="hybridMultilevel"/>
    <w:tmpl w:val="47585488"/>
    <w:lvl w:ilvl="0" w:tplc="69F8CB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27B3C"/>
    <w:multiLevelType w:val="hybridMultilevel"/>
    <w:tmpl w:val="3E56B2E8"/>
    <w:lvl w:ilvl="0" w:tplc="4D808C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24C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61FBE"/>
    <w:multiLevelType w:val="hybridMultilevel"/>
    <w:tmpl w:val="11E82EB0"/>
    <w:lvl w:ilvl="0" w:tplc="46161D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3"/>
  </w:num>
  <w:num w:numId="5">
    <w:abstractNumId w:val="5"/>
  </w:num>
  <w:num w:numId="6">
    <w:abstractNumId w:val="1"/>
  </w:num>
  <w:num w:numId="7">
    <w:abstractNumId w:val="10"/>
  </w:num>
  <w:num w:numId="8">
    <w:abstractNumId w:val="12"/>
  </w:num>
  <w:num w:numId="9">
    <w:abstractNumId w:val="7"/>
  </w:num>
  <w:num w:numId="10">
    <w:abstractNumId w:val="3"/>
  </w:num>
  <w:num w:numId="11">
    <w:abstractNumId w:val="6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1C"/>
    <w:rsid w:val="00021578"/>
    <w:rsid w:val="00021696"/>
    <w:rsid w:val="00026644"/>
    <w:rsid w:val="000345F8"/>
    <w:rsid w:val="00037156"/>
    <w:rsid w:val="00040775"/>
    <w:rsid w:val="000568A9"/>
    <w:rsid w:val="00056F99"/>
    <w:rsid w:val="00072487"/>
    <w:rsid w:val="00072EC8"/>
    <w:rsid w:val="000810FA"/>
    <w:rsid w:val="00083B9E"/>
    <w:rsid w:val="00084B77"/>
    <w:rsid w:val="000A1E88"/>
    <w:rsid w:val="000A457D"/>
    <w:rsid w:val="000B43A5"/>
    <w:rsid w:val="000C34F5"/>
    <w:rsid w:val="000D7B6C"/>
    <w:rsid w:val="000E5664"/>
    <w:rsid w:val="000E6A44"/>
    <w:rsid w:val="000F0352"/>
    <w:rsid w:val="001015E1"/>
    <w:rsid w:val="001049A9"/>
    <w:rsid w:val="00125524"/>
    <w:rsid w:val="001276A4"/>
    <w:rsid w:val="00133405"/>
    <w:rsid w:val="0013452B"/>
    <w:rsid w:val="001351F5"/>
    <w:rsid w:val="00142ADE"/>
    <w:rsid w:val="0014630A"/>
    <w:rsid w:val="0015396E"/>
    <w:rsid w:val="001569EB"/>
    <w:rsid w:val="00170C01"/>
    <w:rsid w:val="001A2BCE"/>
    <w:rsid w:val="001B7DE8"/>
    <w:rsid w:val="001C0A7F"/>
    <w:rsid w:val="001D3511"/>
    <w:rsid w:val="001F55E4"/>
    <w:rsid w:val="001F56CF"/>
    <w:rsid w:val="00210CAD"/>
    <w:rsid w:val="002116AD"/>
    <w:rsid w:val="00212092"/>
    <w:rsid w:val="00216C02"/>
    <w:rsid w:val="00222512"/>
    <w:rsid w:val="002325E6"/>
    <w:rsid w:val="002513D8"/>
    <w:rsid w:val="00252468"/>
    <w:rsid w:val="00274B93"/>
    <w:rsid w:val="002911D2"/>
    <w:rsid w:val="00291BE8"/>
    <w:rsid w:val="002A1710"/>
    <w:rsid w:val="002B286B"/>
    <w:rsid w:val="002B57F4"/>
    <w:rsid w:val="002B6D33"/>
    <w:rsid w:val="002E78F2"/>
    <w:rsid w:val="002F121D"/>
    <w:rsid w:val="002F153E"/>
    <w:rsid w:val="002F513B"/>
    <w:rsid w:val="002F578F"/>
    <w:rsid w:val="00310ABF"/>
    <w:rsid w:val="00320429"/>
    <w:rsid w:val="00322208"/>
    <w:rsid w:val="00325275"/>
    <w:rsid w:val="00336740"/>
    <w:rsid w:val="003663E0"/>
    <w:rsid w:val="0037519E"/>
    <w:rsid w:val="003810FE"/>
    <w:rsid w:val="00382F16"/>
    <w:rsid w:val="003928C8"/>
    <w:rsid w:val="003941BC"/>
    <w:rsid w:val="003A4837"/>
    <w:rsid w:val="003A50DF"/>
    <w:rsid w:val="003A52B3"/>
    <w:rsid w:val="003B33D9"/>
    <w:rsid w:val="003B605B"/>
    <w:rsid w:val="003C6360"/>
    <w:rsid w:val="003D28C6"/>
    <w:rsid w:val="003D3FAA"/>
    <w:rsid w:val="003D7419"/>
    <w:rsid w:val="00400144"/>
    <w:rsid w:val="00412766"/>
    <w:rsid w:val="00435E26"/>
    <w:rsid w:val="0044163E"/>
    <w:rsid w:val="00465890"/>
    <w:rsid w:val="00467876"/>
    <w:rsid w:val="00480C75"/>
    <w:rsid w:val="00488D57"/>
    <w:rsid w:val="004A3197"/>
    <w:rsid w:val="004A3A8C"/>
    <w:rsid w:val="004A7107"/>
    <w:rsid w:val="004C2AB2"/>
    <w:rsid w:val="004F5DEA"/>
    <w:rsid w:val="004F7FA5"/>
    <w:rsid w:val="00500234"/>
    <w:rsid w:val="00502488"/>
    <w:rsid w:val="00503526"/>
    <w:rsid w:val="00510448"/>
    <w:rsid w:val="00527E6D"/>
    <w:rsid w:val="00542E75"/>
    <w:rsid w:val="00564749"/>
    <w:rsid w:val="005676DE"/>
    <w:rsid w:val="00573C76"/>
    <w:rsid w:val="005962AB"/>
    <w:rsid w:val="005A571B"/>
    <w:rsid w:val="005A5A83"/>
    <w:rsid w:val="005C3655"/>
    <w:rsid w:val="005C47DC"/>
    <w:rsid w:val="005C4C63"/>
    <w:rsid w:val="005D1C5E"/>
    <w:rsid w:val="005D45F5"/>
    <w:rsid w:val="005E38BD"/>
    <w:rsid w:val="005E5115"/>
    <w:rsid w:val="005F33DE"/>
    <w:rsid w:val="00607F03"/>
    <w:rsid w:val="00612E2B"/>
    <w:rsid w:val="006376C4"/>
    <w:rsid w:val="00637C02"/>
    <w:rsid w:val="006408BA"/>
    <w:rsid w:val="006424CD"/>
    <w:rsid w:val="0064459C"/>
    <w:rsid w:val="006535BD"/>
    <w:rsid w:val="00655D6E"/>
    <w:rsid w:val="00656F87"/>
    <w:rsid w:val="00661F4B"/>
    <w:rsid w:val="0067382D"/>
    <w:rsid w:val="00680BE0"/>
    <w:rsid w:val="00691F61"/>
    <w:rsid w:val="00695DFF"/>
    <w:rsid w:val="006967D1"/>
    <w:rsid w:val="006A0911"/>
    <w:rsid w:val="006A6B4F"/>
    <w:rsid w:val="006E32BC"/>
    <w:rsid w:val="006E45E5"/>
    <w:rsid w:val="006F4E83"/>
    <w:rsid w:val="00700411"/>
    <w:rsid w:val="00705ADC"/>
    <w:rsid w:val="007101B4"/>
    <w:rsid w:val="00726F8D"/>
    <w:rsid w:val="0072721F"/>
    <w:rsid w:val="00743208"/>
    <w:rsid w:val="00746753"/>
    <w:rsid w:val="00781B30"/>
    <w:rsid w:val="00790C0B"/>
    <w:rsid w:val="007914C4"/>
    <w:rsid w:val="00791930"/>
    <w:rsid w:val="007921D0"/>
    <w:rsid w:val="0079350F"/>
    <w:rsid w:val="00795495"/>
    <w:rsid w:val="00795878"/>
    <w:rsid w:val="007A751B"/>
    <w:rsid w:val="007B144E"/>
    <w:rsid w:val="007B72FB"/>
    <w:rsid w:val="007F6CB6"/>
    <w:rsid w:val="00810C53"/>
    <w:rsid w:val="00812D65"/>
    <w:rsid w:val="008141CD"/>
    <w:rsid w:val="008370A7"/>
    <w:rsid w:val="00845A06"/>
    <w:rsid w:val="0085494C"/>
    <w:rsid w:val="00893216"/>
    <w:rsid w:val="008B007A"/>
    <w:rsid w:val="008C3494"/>
    <w:rsid w:val="008D0B4E"/>
    <w:rsid w:val="008D2934"/>
    <w:rsid w:val="008D6DB0"/>
    <w:rsid w:val="008E065B"/>
    <w:rsid w:val="008E2EBB"/>
    <w:rsid w:val="008F47A4"/>
    <w:rsid w:val="009375D0"/>
    <w:rsid w:val="009539C2"/>
    <w:rsid w:val="00974B87"/>
    <w:rsid w:val="00992C50"/>
    <w:rsid w:val="00993FFF"/>
    <w:rsid w:val="00995400"/>
    <w:rsid w:val="009957D2"/>
    <w:rsid w:val="009A36A7"/>
    <w:rsid w:val="009A5D9E"/>
    <w:rsid w:val="009B70DA"/>
    <w:rsid w:val="009C465E"/>
    <w:rsid w:val="009C67D6"/>
    <w:rsid w:val="009E63CF"/>
    <w:rsid w:val="009F6254"/>
    <w:rsid w:val="009F7738"/>
    <w:rsid w:val="00A068EF"/>
    <w:rsid w:val="00A12686"/>
    <w:rsid w:val="00A23D35"/>
    <w:rsid w:val="00A36D09"/>
    <w:rsid w:val="00A5214E"/>
    <w:rsid w:val="00A610FA"/>
    <w:rsid w:val="00A65FFC"/>
    <w:rsid w:val="00A67BAB"/>
    <w:rsid w:val="00A7027E"/>
    <w:rsid w:val="00A74AB8"/>
    <w:rsid w:val="00A83936"/>
    <w:rsid w:val="00A85919"/>
    <w:rsid w:val="00A95C12"/>
    <w:rsid w:val="00A9719B"/>
    <w:rsid w:val="00AA3E29"/>
    <w:rsid w:val="00AA7666"/>
    <w:rsid w:val="00AB44FB"/>
    <w:rsid w:val="00AB5F62"/>
    <w:rsid w:val="00AD40D3"/>
    <w:rsid w:val="00AD6DB9"/>
    <w:rsid w:val="00AD7FFA"/>
    <w:rsid w:val="00AE458C"/>
    <w:rsid w:val="00B03008"/>
    <w:rsid w:val="00B208F3"/>
    <w:rsid w:val="00B2101A"/>
    <w:rsid w:val="00B26C40"/>
    <w:rsid w:val="00B346B1"/>
    <w:rsid w:val="00B43035"/>
    <w:rsid w:val="00B61A98"/>
    <w:rsid w:val="00B66F7C"/>
    <w:rsid w:val="00B72E68"/>
    <w:rsid w:val="00B752E8"/>
    <w:rsid w:val="00B7761C"/>
    <w:rsid w:val="00BC0111"/>
    <w:rsid w:val="00BC096F"/>
    <w:rsid w:val="00BC224B"/>
    <w:rsid w:val="00BD27DE"/>
    <w:rsid w:val="00BE0BF9"/>
    <w:rsid w:val="00BE3EDA"/>
    <w:rsid w:val="00BE495F"/>
    <w:rsid w:val="00BE7EA3"/>
    <w:rsid w:val="00C17104"/>
    <w:rsid w:val="00C25601"/>
    <w:rsid w:val="00C4178A"/>
    <w:rsid w:val="00C60C8D"/>
    <w:rsid w:val="00C65370"/>
    <w:rsid w:val="00C71321"/>
    <w:rsid w:val="00C8424C"/>
    <w:rsid w:val="00CA02A4"/>
    <w:rsid w:val="00CA0A62"/>
    <w:rsid w:val="00CA65DA"/>
    <w:rsid w:val="00CB32C9"/>
    <w:rsid w:val="00CC0BB2"/>
    <w:rsid w:val="00CE35B4"/>
    <w:rsid w:val="00CE3E29"/>
    <w:rsid w:val="00D00CE0"/>
    <w:rsid w:val="00D05F48"/>
    <w:rsid w:val="00D10CFE"/>
    <w:rsid w:val="00D408A6"/>
    <w:rsid w:val="00D54966"/>
    <w:rsid w:val="00D8200A"/>
    <w:rsid w:val="00D85DC7"/>
    <w:rsid w:val="00D87130"/>
    <w:rsid w:val="00D92077"/>
    <w:rsid w:val="00D96CE3"/>
    <w:rsid w:val="00DA12B8"/>
    <w:rsid w:val="00DA7846"/>
    <w:rsid w:val="00DA7FEF"/>
    <w:rsid w:val="00DB4E95"/>
    <w:rsid w:val="00DC001F"/>
    <w:rsid w:val="00DC16E7"/>
    <w:rsid w:val="00DC60B5"/>
    <w:rsid w:val="00DD6221"/>
    <w:rsid w:val="00DE4543"/>
    <w:rsid w:val="00DE7676"/>
    <w:rsid w:val="00DF20B5"/>
    <w:rsid w:val="00E16216"/>
    <w:rsid w:val="00E22683"/>
    <w:rsid w:val="00E42C5E"/>
    <w:rsid w:val="00E5476D"/>
    <w:rsid w:val="00E6474F"/>
    <w:rsid w:val="00E66E96"/>
    <w:rsid w:val="00E85513"/>
    <w:rsid w:val="00E909E4"/>
    <w:rsid w:val="00EA385F"/>
    <w:rsid w:val="00EA5AAB"/>
    <w:rsid w:val="00EA759E"/>
    <w:rsid w:val="00EB3F40"/>
    <w:rsid w:val="00ED5204"/>
    <w:rsid w:val="00ED5BCF"/>
    <w:rsid w:val="00EE26E5"/>
    <w:rsid w:val="00EF7FB5"/>
    <w:rsid w:val="00F01F3C"/>
    <w:rsid w:val="00F152D5"/>
    <w:rsid w:val="00F205A0"/>
    <w:rsid w:val="00F42E25"/>
    <w:rsid w:val="00F45083"/>
    <w:rsid w:val="00F6423B"/>
    <w:rsid w:val="00F80BCD"/>
    <w:rsid w:val="00F920D4"/>
    <w:rsid w:val="00F94583"/>
    <w:rsid w:val="00FA12EC"/>
    <w:rsid w:val="00FA3AC0"/>
    <w:rsid w:val="00FB032D"/>
    <w:rsid w:val="00FB19A5"/>
    <w:rsid w:val="00FC3EF9"/>
    <w:rsid w:val="00FC4597"/>
    <w:rsid w:val="00FD5CB7"/>
    <w:rsid w:val="00FD5D17"/>
    <w:rsid w:val="00FE4CDA"/>
    <w:rsid w:val="00FF6A95"/>
    <w:rsid w:val="046B0767"/>
    <w:rsid w:val="05FBEB4D"/>
    <w:rsid w:val="063ACC08"/>
    <w:rsid w:val="071EDB10"/>
    <w:rsid w:val="084CB968"/>
    <w:rsid w:val="09479500"/>
    <w:rsid w:val="095671F7"/>
    <w:rsid w:val="099B68E6"/>
    <w:rsid w:val="0C621CE9"/>
    <w:rsid w:val="0CB5EB43"/>
    <w:rsid w:val="0E554D05"/>
    <w:rsid w:val="0F0BFAFC"/>
    <w:rsid w:val="0F178A82"/>
    <w:rsid w:val="0F182B34"/>
    <w:rsid w:val="0F25C569"/>
    <w:rsid w:val="11018458"/>
    <w:rsid w:val="1334D993"/>
    <w:rsid w:val="14B61639"/>
    <w:rsid w:val="14F7BBB0"/>
    <w:rsid w:val="15362900"/>
    <w:rsid w:val="162DDD55"/>
    <w:rsid w:val="175D3D58"/>
    <w:rsid w:val="1A74C551"/>
    <w:rsid w:val="1DE4E883"/>
    <w:rsid w:val="1EB82D0B"/>
    <w:rsid w:val="214386E7"/>
    <w:rsid w:val="21AE7AB9"/>
    <w:rsid w:val="220EB7A6"/>
    <w:rsid w:val="226BDAD3"/>
    <w:rsid w:val="233F1F5B"/>
    <w:rsid w:val="293E977D"/>
    <w:rsid w:val="29FB6C92"/>
    <w:rsid w:val="2B5D6550"/>
    <w:rsid w:val="2B9ECF6F"/>
    <w:rsid w:val="2BC3E066"/>
    <w:rsid w:val="2FCAC004"/>
    <w:rsid w:val="30136566"/>
    <w:rsid w:val="30C196A2"/>
    <w:rsid w:val="30CC6E67"/>
    <w:rsid w:val="31F8409A"/>
    <w:rsid w:val="328B3665"/>
    <w:rsid w:val="3509CBA9"/>
    <w:rsid w:val="36966D17"/>
    <w:rsid w:val="369BC1D9"/>
    <w:rsid w:val="36B24EED"/>
    <w:rsid w:val="36C3EE6B"/>
    <w:rsid w:val="3846FC11"/>
    <w:rsid w:val="38826334"/>
    <w:rsid w:val="392C1E7B"/>
    <w:rsid w:val="39A46148"/>
    <w:rsid w:val="3AFD2BD1"/>
    <w:rsid w:val="3B1816CC"/>
    <w:rsid w:val="410894AF"/>
    <w:rsid w:val="4132E7B0"/>
    <w:rsid w:val="4136FE8A"/>
    <w:rsid w:val="429D41D3"/>
    <w:rsid w:val="42EF714E"/>
    <w:rsid w:val="43B57D4A"/>
    <w:rsid w:val="448D8925"/>
    <w:rsid w:val="44F4F5C2"/>
    <w:rsid w:val="453256E4"/>
    <w:rsid w:val="45A45843"/>
    <w:rsid w:val="46DDDC6E"/>
    <w:rsid w:val="481D211A"/>
    <w:rsid w:val="4A16A919"/>
    <w:rsid w:val="4A7A6CC2"/>
    <w:rsid w:val="4B73ABB5"/>
    <w:rsid w:val="4C11A189"/>
    <w:rsid w:val="4CB8001F"/>
    <w:rsid w:val="4E0BC30C"/>
    <w:rsid w:val="4E50B9FB"/>
    <w:rsid w:val="4F34D5AE"/>
    <w:rsid w:val="4FEBC10E"/>
    <w:rsid w:val="50CCAA00"/>
    <w:rsid w:val="524C5DA7"/>
    <w:rsid w:val="52B85DCB"/>
    <w:rsid w:val="55EEDCF2"/>
    <w:rsid w:val="58BC03D2"/>
    <w:rsid w:val="5AC8C28E"/>
    <w:rsid w:val="5BDE3BD8"/>
    <w:rsid w:val="5CB18060"/>
    <w:rsid w:val="5CE79A58"/>
    <w:rsid w:val="5D3BABA7"/>
    <w:rsid w:val="5DB72B95"/>
    <w:rsid w:val="5E55B58D"/>
    <w:rsid w:val="5F656B7C"/>
    <w:rsid w:val="5F94B5C4"/>
    <w:rsid w:val="608B15C4"/>
    <w:rsid w:val="611D1DC1"/>
    <w:rsid w:val="6156933B"/>
    <w:rsid w:val="622FFDED"/>
    <w:rsid w:val="63574083"/>
    <w:rsid w:val="63701340"/>
    <w:rsid w:val="65F57EF8"/>
    <w:rsid w:val="66374DBE"/>
    <w:rsid w:val="670DBA6F"/>
    <w:rsid w:val="67E8E1E5"/>
    <w:rsid w:val="68561B91"/>
    <w:rsid w:val="691006E1"/>
    <w:rsid w:val="692EB3A3"/>
    <w:rsid w:val="6BD3AF61"/>
    <w:rsid w:val="6D688F56"/>
    <w:rsid w:val="6EB6D0E8"/>
    <w:rsid w:val="7040EF31"/>
    <w:rsid w:val="7129882F"/>
    <w:rsid w:val="724274FB"/>
    <w:rsid w:val="72E9A825"/>
    <w:rsid w:val="733DD715"/>
    <w:rsid w:val="74B334D6"/>
    <w:rsid w:val="7A7E003C"/>
    <w:rsid w:val="7AF5DE62"/>
    <w:rsid w:val="7C8D8A7B"/>
    <w:rsid w:val="7D11840C"/>
    <w:rsid w:val="7D3E7451"/>
    <w:rsid w:val="7D567AFB"/>
    <w:rsid w:val="7EA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90F5E7"/>
  <w15:chartTrackingRefBased/>
  <w15:docId w15:val="{BCE80412-3D3F-4577-8A0F-2B1DBE0B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209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E458C"/>
    <w:rPr>
      <w:i/>
      <w:iCs/>
    </w:rPr>
  </w:style>
  <w:style w:type="paragraph" w:customStyle="1" w:styleId="ESAParai">
    <w:name w:val="ESA Para (i)"/>
    <w:basedOn w:val="Normal"/>
    <w:next w:val="Normal"/>
    <w:qFormat/>
    <w:rsid w:val="00A83936"/>
    <w:pPr>
      <w:spacing w:after="240" w:line="240" w:lineRule="auto"/>
      <w:ind w:firstLine="2160"/>
    </w:pPr>
    <w:rPr>
      <w:rFonts w:ascii="Times New Roman" w:eastAsia="Calibri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ABF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408A6"/>
  </w:style>
  <w:style w:type="character" w:customStyle="1" w:styleId="findhit">
    <w:name w:val="findhit"/>
    <w:basedOn w:val="DefaultParagraphFont"/>
    <w:rsid w:val="00D408A6"/>
  </w:style>
  <w:style w:type="character" w:styleId="PlaceholderText">
    <w:name w:val="Placeholder Text"/>
    <w:basedOn w:val="DefaultParagraphFont"/>
    <w:uiPriority w:val="99"/>
    <w:semiHidden/>
    <w:rsid w:val="00CC0BB2"/>
    <w:rPr>
      <w:color w:val="808080"/>
    </w:rPr>
  </w:style>
  <w:style w:type="character" w:customStyle="1" w:styleId="DeltaViewDeletion">
    <w:name w:val="DeltaView Deletion"/>
    <w:uiPriority w:val="99"/>
    <w:rsid w:val="00743208"/>
    <w:rPr>
      <w:strike/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B20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8F3"/>
  </w:style>
  <w:style w:type="paragraph" w:styleId="Footer">
    <w:name w:val="footer"/>
    <w:basedOn w:val="Normal"/>
    <w:link w:val="FooterChar"/>
    <w:uiPriority w:val="99"/>
    <w:unhideWhenUsed/>
    <w:rsid w:val="00B20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732B5A0316247B396F399D86043E4" ma:contentTypeVersion="15" ma:contentTypeDescription="Create a new document." ma:contentTypeScope="" ma:versionID="47a33f00132741650ee3b0bbd88acb1f">
  <xsd:schema xmlns:xsd="http://www.w3.org/2001/XMLSchema" xmlns:xs="http://www.w3.org/2001/XMLSchema" xmlns:p="http://schemas.microsoft.com/office/2006/metadata/properties" xmlns:ns2="97e57212-3e02-407f-8b2d-05f7d7f19b15" xmlns:ns3="52a836be-a005-401a-9905-42851ac38505" xmlns:ns4="352884b3-2372-4485-b964-7d2e944e6877" targetNamespace="http://schemas.microsoft.com/office/2006/metadata/properties" ma:root="true" ma:fieldsID="b5bd550ade64459257714257b15af437" ns2:_="" ns3:_="" ns4:_="">
    <xsd:import namespace="97e57212-3e02-407f-8b2d-05f7d7f19b15"/>
    <xsd:import namespace="52a836be-a005-401a-9905-42851ac38505"/>
    <xsd:import namespace="352884b3-2372-4485-b964-7d2e944e6877"/>
    <xsd:element name="properties">
      <xsd:complexType>
        <xsd:sequence>
          <xsd:element name="documentManagement">
            <xsd:complexType>
              <xsd:all>
                <xsd:element ref="ns2:pgeInformationSecurityClassification" minOccurs="0"/>
                <xsd:element ref="ns2:mca9ac2a47d44219b4ff213ace4480ec" minOccurs="0"/>
                <xsd:element ref="ns2:TaxCatchAll" minOccurs="0"/>
                <xsd:element ref="ns2:TaxCatchAllLabel" minOccurs="0"/>
                <xsd:element ref="ns2:pgeRetentionTriggerDat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8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9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adcc1c58-aad5-4d6c-b2f3-f9d1112c68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2e34d6f-5fca-497b-80aa-e735edcb37f6}" ma:internalName="TaxCatchAll" ma:showField="CatchAllData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2e34d6f-5fca-497b-80aa-e735edcb37f6}" ma:internalName="TaxCatchAllLabel" ma:readOnly="true" ma:showField="CatchAllDataLabel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13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be-a005-401a-9905-42851ac38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884b3-2372-4485-b964-7d2e944e6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1023ccf-7cb6-4ee1-9475-b660b0644bb5" ContentTypeId="0x01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pgeInformationSecurityClassification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TaxCatchAll xmlns="97e57212-3e02-407f-8b2d-05f7d7f19b15" xsi:nil="true"/>
  </documentManagement>
</p:properties>
</file>

<file path=customXml/itemProps1.xml><?xml version="1.0" encoding="utf-8"?>
<ds:datastoreItem xmlns:ds="http://schemas.openxmlformats.org/officeDocument/2006/customXml" ds:itemID="{BBFC5B54-5BE8-434D-B29F-75393330D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57212-3e02-407f-8b2d-05f7d7f19b15"/>
    <ds:schemaRef ds:uri="52a836be-a005-401a-9905-42851ac38505"/>
    <ds:schemaRef ds:uri="352884b3-2372-4485-b964-7d2e944e6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D2C4E-5E01-4117-BCFB-DCDF7375040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E8DCD8A-9E62-4741-8193-003224CF1C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47092-C38B-47B2-99A2-D6211F54D77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7e57212-3e02-407f-8b2d-05f7d7f19b15"/>
    <ds:schemaRef ds:uri="352884b3-2372-4485-b964-7d2e944e6877"/>
    <ds:schemaRef ds:uri="52a836be-a005-401a-9905-42851ac3850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Andrew</dc:creator>
  <cp:keywords/>
  <dc:description/>
  <cp:lastModifiedBy>Della Maggiore, Timothy</cp:lastModifiedBy>
  <cp:revision>4</cp:revision>
  <dcterms:created xsi:type="dcterms:W3CDTF">2022-04-15T18:13:00Z</dcterms:created>
  <dcterms:modified xsi:type="dcterms:W3CDTF">2022-04-15T18:52:00Z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0x010100CC5732B5A0316247B396F399D86043E4</vt:lpwstr>
  </property>
  <property fmtid="{D5CDD505-2E9C-101B-9397-08002B2CF9AE}" pid="3" name="pgeRecordCategory">
    <vt:lpwstr/>
  </property>
</Properties>
</file>