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FE07" w14:textId="1EC44A1B" w:rsidR="00ED4AC6" w:rsidRDefault="00ED4AC6">
      <w:pPr>
        <w:pStyle w:val="TOCHeading"/>
        <w:rPr>
          <w:rFonts w:ascii="Times New Roman" w:hAnsi="Times New Roman" w:cs="Times New Roman"/>
          <w:color w:val="auto"/>
          <w:sz w:val="36"/>
          <w:szCs w:val="36"/>
        </w:rPr>
      </w:pPr>
      <w:r w:rsidRPr="00ED4AC6">
        <w:rPr>
          <w:rFonts w:ascii="Times New Roman" w:hAnsi="Times New Roman" w:cs="Times New Roman"/>
          <w:color w:val="auto"/>
          <w:sz w:val="36"/>
          <w:szCs w:val="36"/>
        </w:rPr>
        <w:t>Partnership Pilot Frequently Asked Questions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14:paraId="26921FCB" w14:textId="77777777" w:rsidR="00ED4AC6" w:rsidRPr="00ED4AC6" w:rsidRDefault="00ED4AC6" w:rsidP="00ED4AC6"/>
    <w:p w14:paraId="53164E2E" w14:textId="65FD1279" w:rsidR="004A0509" w:rsidRDefault="00992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>QUESTIONS</w:t>
      </w:r>
      <w:r w:rsidR="004D5C62">
        <w:rPr>
          <w:rFonts w:ascii="Times New Roman" w:hAnsi="Times New Roman" w:cs="Times New Roman"/>
          <w:sz w:val="24"/>
          <w:szCs w:val="24"/>
        </w:rPr>
        <w:t>:</w:t>
      </w:r>
    </w:p>
    <w:p w14:paraId="45F55F99" w14:textId="4A451B6E" w:rsidR="00C141F6" w:rsidRDefault="002E385F">
      <w:pPr>
        <w:pStyle w:val="TOC1"/>
        <w:rPr>
          <w:rFonts w:eastAsiaTheme="minorEastAsia"/>
          <w:noProof/>
        </w:rPr>
      </w:pPr>
      <w:r w:rsidRPr="00B0259B">
        <w:fldChar w:fldCharType="begin"/>
      </w:r>
      <w:r w:rsidRPr="00B0259B">
        <w:instrText>TOC \o "1-3" \h \z \u</w:instrText>
      </w:r>
      <w:r w:rsidRPr="00B0259B">
        <w:fldChar w:fldCharType="separate"/>
      </w:r>
      <w:hyperlink w:anchor="_Toc155699308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1.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How are performance incentives determined per event? If there are no events, is the performance budget 0?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_Toc155699308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71614014" w14:textId="2618F965" w:rsidR="00C141F6" w:rsidRDefault="009928DF">
      <w:pPr>
        <w:pStyle w:val="TOC1"/>
        <w:rPr>
          <w:rFonts w:eastAsiaTheme="minorEastAsia"/>
          <w:noProof/>
        </w:rPr>
      </w:pPr>
      <w:hyperlink w:anchor="_Toc155699309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2.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If there are fewer than the maximum number of events, will the performance budget be proportional to the number of events or will the maximum budget be allocated?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_Toc155699309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3AE434C1" w14:textId="5694E467" w:rsidR="00C141F6" w:rsidRDefault="009928DF">
      <w:pPr>
        <w:pStyle w:val="TOC1"/>
        <w:rPr>
          <w:rFonts w:eastAsiaTheme="minorEastAsia"/>
          <w:noProof/>
        </w:rPr>
      </w:pPr>
      <w:hyperlink w:anchor="_Toc155699310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3.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What is the penalty structure for underperformance?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_Toc155699310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5FC8A2C2" w14:textId="6228057B" w:rsidR="00C141F6" w:rsidRDefault="009928DF">
      <w:pPr>
        <w:pStyle w:val="TOC1"/>
        <w:rPr>
          <w:rFonts w:eastAsiaTheme="minorEastAsia"/>
          <w:noProof/>
        </w:rPr>
      </w:pPr>
      <w:hyperlink w:anchor="_Toc155699311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4.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If a customer has gotten a deployment incentive for a given tranche, will they be ineligible for any deployment incentives in future tranches?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_Toc155699311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2F18D3BB" w14:textId="6EEC7CF1" w:rsidR="00C141F6" w:rsidRDefault="009928DF">
      <w:pPr>
        <w:pStyle w:val="TOC1"/>
        <w:rPr>
          <w:rFonts w:eastAsiaTheme="minorEastAsia"/>
          <w:noProof/>
        </w:rPr>
      </w:pPr>
      <w:hyperlink w:anchor="_Toc155699312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5.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What is the timing of the disbursal of the funds from each of the deployment, reservation, and performance budgets each year?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_Toc155699312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667F6BF2" w14:textId="27D96C86" w:rsidR="00C141F6" w:rsidRDefault="009928DF">
      <w:pPr>
        <w:pStyle w:val="TOC1"/>
        <w:rPr>
          <w:rFonts w:eastAsiaTheme="minorEastAsia"/>
          <w:noProof/>
        </w:rPr>
      </w:pPr>
      <w:hyperlink w:anchor="_Toc155699313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6.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How is performance calculated/what baseline is used?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_Toc155699313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415D19E7" w14:textId="38D229AB" w:rsidR="00C141F6" w:rsidRDefault="009928DF">
      <w:pPr>
        <w:pStyle w:val="TOC1"/>
        <w:rPr>
          <w:rFonts w:eastAsiaTheme="minorEastAsia"/>
          <w:noProof/>
        </w:rPr>
      </w:pPr>
      <w:hyperlink w:anchor="_Toc155699314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7.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Is performance data submitted by the Energy Service Provider (ESP) or will the PG&amp;E calculate performance?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_Toc155699314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2</w:t>
        </w:r>
        <w:r w:rsidR="00C141F6">
          <w:rPr>
            <w:noProof/>
            <w:webHidden/>
          </w:rPr>
          <w:fldChar w:fldCharType="end"/>
        </w:r>
      </w:hyperlink>
    </w:p>
    <w:p w14:paraId="2BB7777B" w14:textId="18B75BEB" w:rsidR="00C141F6" w:rsidRDefault="009928DF">
      <w:pPr>
        <w:pStyle w:val="TOC1"/>
        <w:rPr>
          <w:rFonts w:eastAsiaTheme="minorEastAsia"/>
          <w:noProof/>
        </w:rPr>
      </w:pPr>
      <w:hyperlink w:anchor="_Toc155699315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8.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How is performance determined for a multi-use resource, calculating incrementality? For Demand Response, can capacity that is contracted for certain months participate in other programs in other months if eligible?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_Toc155699315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3</w:t>
        </w:r>
        <w:r w:rsidR="00C141F6">
          <w:rPr>
            <w:noProof/>
            <w:webHidden/>
          </w:rPr>
          <w:fldChar w:fldCharType="end"/>
        </w:r>
      </w:hyperlink>
    </w:p>
    <w:p w14:paraId="386F64E1" w14:textId="6EA3C92C" w:rsidR="00C141F6" w:rsidRDefault="009928DF">
      <w:pPr>
        <w:pStyle w:val="TOC1"/>
        <w:rPr>
          <w:rFonts w:eastAsiaTheme="minorEastAsia"/>
          <w:noProof/>
        </w:rPr>
      </w:pPr>
      <w:hyperlink w:anchor="_Toc155699316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9.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How can a Participant determine if a service account is in the eligible area?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_Toc155699316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3</w:t>
        </w:r>
        <w:r w:rsidR="00C141F6">
          <w:rPr>
            <w:noProof/>
            <w:webHidden/>
          </w:rPr>
          <w:fldChar w:fldCharType="end"/>
        </w:r>
      </w:hyperlink>
    </w:p>
    <w:p w14:paraId="247DD23F" w14:textId="7C1F75FD" w:rsidR="00C141F6" w:rsidRDefault="009928DF">
      <w:pPr>
        <w:pStyle w:val="TOC1"/>
        <w:rPr>
          <w:rFonts w:eastAsiaTheme="minorEastAsia"/>
          <w:noProof/>
        </w:rPr>
      </w:pPr>
      <w:hyperlink w:anchor="_Toc155699317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10.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Where can participants find data on the Green Valley Bank 4 or Camden 1106 circuits in the DIDF map?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_Toc155699317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3</w:t>
        </w:r>
        <w:r w:rsidR="00C141F6">
          <w:rPr>
            <w:noProof/>
            <w:webHidden/>
          </w:rPr>
          <w:fldChar w:fldCharType="end"/>
        </w:r>
      </w:hyperlink>
    </w:p>
    <w:p w14:paraId="09F791CF" w14:textId="4FDDC34B" w:rsidR="00C141F6" w:rsidRDefault="009928DF">
      <w:pPr>
        <w:pStyle w:val="TOC1"/>
        <w:rPr>
          <w:rFonts w:eastAsiaTheme="minorEastAsia"/>
          <w:noProof/>
        </w:rPr>
      </w:pPr>
      <w:hyperlink w:anchor="_Toc155699318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 xml:space="preserve">11. 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For the Giffen Bank 2 project, how do Participants obtain more information on the project requirements, including capacity need and event parameters?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_Toc155699318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4</w:t>
        </w:r>
        <w:r w:rsidR="00C141F6">
          <w:rPr>
            <w:noProof/>
            <w:webHidden/>
          </w:rPr>
          <w:fldChar w:fldCharType="end"/>
        </w:r>
      </w:hyperlink>
    </w:p>
    <w:p w14:paraId="79A15A48" w14:textId="7AB1C808" w:rsidR="00C141F6" w:rsidRDefault="009928DF">
      <w:pPr>
        <w:pStyle w:val="TOC1"/>
        <w:rPr>
          <w:rFonts w:eastAsiaTheme="minorEastAsia"/>
          <w:noProof/>
        </w:rPr>
      </w:pPr>
      <w:hyperlink w:anchor="_Toc155699319" w:history="1">
        <w:r w:rsidR="00C141F6" w:rsidRPr="00D50DBB">
          <w:rPr>
            <w:rStyle w:val="Hyperlink"/>
            <w:rFonts w:ascii="Times New Roman" w:hAnsi="Times New Roman" w:cs="Times New Roman"/>
            <w:noProof/>
          </w:rPr>
          <w:t>12.</w:t>
        </w:r>
        <w:r w:rsidR="00C141F6">
          <w:rPr>
            <w:rFonts w:eastAsiaTheme="minorEastAsia"/>
            <w:noProof/>
          </w:rPr>
          <w:tab/>
        </w:r>
        <w:r w:rsidR="00C141F6" w:rsidRPr="00D50DBB">
          <w:rPr>
            <w:rStyle w:val="Hyperlink"/>
            <w:rFonts w:ascii="Times New Roman" w:hAnsi="Times New Roman" w:cs="Times New Roman"/>
            <w:noProof/>
          </w:rPr>
          <w:t>Will there be regular updates available on the amount of reserved capacity for each project before it has been fully subscribed?</w:t>
        </w:r>
        <w:r w:rsidR="00C141F6">
          <w:rPr>
            <w:noProof/>
            <w:webHidden/>
          </w:rPr>
          <w:tab/>
        </w:r>
        <w:r w:rsidR="00C141F6">
          <w:rPr>
            <w:noProof/>
            <w:webHidden/>
          </w:rPr>
          <w:fldChar w:fldCharType="begin"/>
        </w:r>
        <w:r w:rsidR="00C141F6">
          <w:rPr>
            <w:noProof/>
            <w:webHidden/>
          </w:rPr>
          <w:instrText xml:space="preserve"> PAGEREF _Toc155699319 \h </w:instrText>
        </w:r>
        <w:r w:rsidR="00C141F6">
          <w:rPr>
            <w:noProof/>
            <w:webHidden/>
          </w:rPr>
        </w:r>
        <w:r w:rsidR="00C141F6">
          <w:rPr>
            <w:noProof/>
            <w:webHidden/>
          </w:rPr>
          <w:fldChar w:fldCharType="separate"/>
        </w:r>
        <w:r w:rsidR="00C141F6">
          <w:rPr>
            <w:noProof/>
            <w:webHidden/>
          </w:rPr>
          <w:t>4</w:t>
        </w:r>
        <w:r w:rsidR="00C141F6">
          <w:rPr>
            <w:noProof/>
            <w:webHidden/>
          </w:rPr>
          <w:fldChar w:fldCharType="end"/>
        </w:r>
      </w:hyperlink>
    </w:p>
    <w:p w14:paraId="2B80E1BA" w14:textId="3E11832D" w:rsidR="002E385F" w:rsidRPr="00FD4495" w:rsidRDefault="002E385F" w:rsidP="005E290F">
      <w:pPr>
        <w:pStyle w:val="TOC1"/>
        <w:rPr>
          <w:rFonts w:ascii="Times New Roman" w:hAnsi="Times New Roman" w:cs="Times New Roman"/>
        </w:rPr>
      </w:pPr>
      <w:r w:rsidRPr="00B0259B">
        <w:fldChar w:fldCharType="end"/>
      </w:r>
    </w:p>
    <w:p w14:paraId="4C3BC91F" w14:textId="77777777" w:rsidR="002E385F" w:rsidRPr="00B214A2" w:rsidRDefault="002E385F">
      <w:pPr>
        <w:rPr>
          <w:rFonts w:ascii="Times New Roman" w:hAnsi="Times New Roman" w:cs="Times New Roman"/>
          <w:sz w:val="24"/>
          <w:szCs w:val="24"/>
        </w:rPr>
      </w:pPr>
    </w:p>
    <w:p w14:paraId="281F0C92" w14:textId="4EDA6871" w:rsidR="00BA0EBF" w:rsidRPr="00B214A2" w:rsidRDefault="00B214A2" w:rsidP="00BA0EBF">
      <w:pPr>
        <w:rPr>
          <w:rFonts w:ascii="Times New Roman" w:hAnsi="Times New Roman" w:cs="Times New Roman"/>
          <w:sz w:val="24"/>
          <w:szCs w:val="24"/>
        </w:rPr>
      </w:pPr>
      <w:r w:rsidRPr="00B214A2">
        <w:rPr>
          <w:rFonts w:ascii="Times New Roman" w:hAnsi="Times New Roman" w:cs="Times New Roman"/>
          <w:sz w:val="24"/>
          <w:szCs w:val="24"/>
        </w:rPr>
        <w:br w:type="page"/>
      </w:r>
    </w:p>
    <w:p w14:paraId="11E55E37" w14:textId="0BD65EF5" w:rsidR="00723EE6" w:rsidRPr="00B214A2" w:rsidRDefault="00B214A2" w:rsidP="009925A5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55699308"/>
      <w:r w:rsidRPr="3FA08F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AD4E6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How are performance incentives determined per event?</w:t>
      </w:r>
      <w:r w:rsidR="0073582C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If there are no events, </w:t>
      </w:r>
      <w:r w:rsidR="005702B2" w:rsidRPr="3FA08F8B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the performance budget 0</w:t>
      </w:r>
      <w:r w:rsidR="005702B2" w:rsidRPr="3FA08F8B">
        <w:rPr>
          <w:rFonts w:ascii="Times New Roman" w:hAnsi="Times New Roman" w:cs="Times New Roman"/>
          <w:color w:val="auto"/>
          <w:sz w:val="24"/>
          <w:szCs w:val="24"/>
        </w:rPr>
        <w:t>?</w:t>
      </w:r>
      <w:bookmarkEnd w:id="0"/>
    </w:p>
    <w:p w14:paraId="7F8941BD" w14:textId="202B158E" w:rsidR="000F0D96" w:rsidRPr="00E76B0C" w:rsidRDefault="00ED4AC6" w:rsidP="00E76B0C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73582C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40CB6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The performance budget</w:t>
      </w:r>
      <w:r w:rsidR="2D88D588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 50% of the total budget.  If there are no events, that portion of the budget would not be paid to aggregators.</w:t>
      </w:r>
    </w:p>
    <w:p w14:paraId="275C1AFB" w14:textId="784A3C65" w:rsidR="00723EE6" w:rsidRPr="00B214A2" w:rsidRDefault="00B214A2" w:rsidP="00E76B0C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55699309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E76B0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If there are fewer than the maximum number of events, will the performance budget be proportional to the number of events or will the maximum budget be allocated?</w:t>
      </w:r>
      <w:bookmarkEnd w:id="1"/>
    </w:p>
    <w:p w14:paraId="6FA51495" w14:textId="1BC5947C" w:rsidR="00640CB6" w:rsidRPr="00E76B0C" w:rsidRDefault="00ED4AC6" w:rsidP="00E76B0C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75E4BC28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3136A3C6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The price per event is fixed.</w:t>
      </w:r>
      <w:r w:rsidR="00222789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4FE0F62F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If not all events are utilized, the</w:t>
      </w:r>
      <w:r w:rsidR="5A51064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 will </w:t>
      </w:r>
      <w:r w:rsidR="4FE0F62F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remaining performance budget</w:t>
      </w:r>
      <w:r w:rsidR="03D7A28E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.  The disposition of any surplus budget will be addressed in future proceedings.</w:t>
      </w:r>
    </w:p>
    <w:p w14:paraId="1383CF1A" w14:textId="13DB21C4" w:rsidR="00723EE6" w:rsidRPr="00B214A2" w:rsidRDefault="00B214A2" w:rsidP="00E76B0C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55699310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E76B0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What is the penalty structure for underperformance?</w:t>
      </w:r>
      <w:bookmarkEnd w:id="2"/>
    </w:p>
    <w:p w14:paraId="47BAD078" w14:textId="406CDF4A" w:rsidR="4B802D52" w:rsidRPr="00E76B0C" w:rsidRDefault="00ED4AC6" w:rsidP="00E76B0C">
      <w:pPr>
        <w:spacing w:before="60" w:after="100" w:afterAutospacing="1" w:line="240" w:lineRule="auto"/>
        <w:ind w:left="547"/>
        <w:rPr>
          <w:rFonts w:ascii="Times New Roman" w:hAnsi="Times New Roman" w:cs="Times New Roman"/>
          <w:i/>
          <w:iCs/>
          <w:sz w:val="24"/>
          <w:szCs w:val="24"/>
        </w:rPr>
      </w:pPr>
      <w:r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73582C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4B802D52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penalty structure </w:t>
      </w:r>
      <w:r w:rsidR="00D6444A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will be</w:t>
      </w:r>
      <w:r w:rsidR="4B802D52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addressed in the Partnership Pilot</w:t>
      </w:r>
      <w:r w:rsidR="001C1B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Distribution Services Agreement.</w:t>
      </w:r>
    </w:p>
    <w:p w14:paraId="42ACC999" w14:textId="58AB2089" w:rsidR="00723EE6" w:rsidRPr="00B214A2" w:rsidRDefault="00B214A2" w:rsidP="00E76B0C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55699311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="00E76B0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If a customer has gotten a deployment incentive for a given tranche, will they be ineligible for any deployment incentives in future tranches?</w:t>
      </w:r>
      <w:bookmarkEnd w:id="3"/>
    </w:p>
    <w:p w14:paraId="2809305C" w14:textId="3B32237E" w:rsidR="00564ACB" w:rsidRPr="00E76B0C" w:rsidRDefault="00ED4AC6" w:rsidP="00B0259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73582C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</w:t>
      </w:r>
      <w:r w:rsidR="00564AC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eployment incentives will be awarded annually</w:t>
      </w:r>
      <w:r w:rsidR="003536D3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projects that are incremental relative to </w:t>
      </w:r>
      <w:r w:rsidR="001B123D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an initial date</w:t>
      </w:r>
      <w:r w:rsidR="00564AC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1B123D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4AC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If the Aggregator is chosen for a future tranche, they would be eligible for a deployment payment</w:t>
      </w:r>
      <w:r w:rsidR="009D6A60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 </w:t>
      </w:r>
      <w:r w:rsidR="009C39A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those </w:t>
      </w:r>
      <w:r w:rsidR="009D6A60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projects</w:t>
      </w:r>
      <w:r w:rsidR="009C39A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that were deemed incremental initially</w:t>
      </w:r>
      <w:r w:rsidR="00564ACB" w:rsidRPr="00E76B0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9BED26A" w14:textId="11E5B92B" w:rsidR="00723EE6" w:rsidRPr="00B214A2" w:rsidRDefault="00B214A2" w:rsidP="00F574AB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55699312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What is the timing of the disbursal of the funds from each of the deployment, reservation, and performance budgets each year?</w:t>
      </w:r>
      <w:bookmarkEnd w:id="4"/>
    </w:p>
    <w:p w14:paraId="7F063F2A" w14:textId="45EF8ABA" w:rsidR="00564ACB" w:rsidRPr="00F574A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8669A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4ACB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Deployment payments will be made after a licensed </w:t>
      </w:r>
      <w:r w:rsidR="3139364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</w:t>
      </w:r>
      <w:r w:rsidR="00564ACB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engineer certifies the </w:t>
      </w:r>
      <w:r w:rsidR="379FCCB3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project(s)</w:t>
      </w:r>
      <w:r w:rsidR="00564ACB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has been built according to the contract between the aggregator and PG&amp;E, and proof that it is capable of performing according to the contracted need.</w:t>
      </w:r>
      <w:r w:rsidR="008669A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4ACB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Reservation payments are made monthly, during the months listed in the contract</w:t>
      </w:r>
      <w:r w:rsidR="25D65ECB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, depending on the performance of the aggregator.</w:t>
      </w:r>
      <w:r w:rsidR="00564ACB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Performance payments are made monthly </w:t>
      </w:r>
      <w:r w:rsidR="00F7086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depending on the number of calls made and the performance of the aggregator.</w:t>
      </w:r>
    </w:p>
    <w:p w14:paraId="6023E112" w14:textId="0329F56C" w:rsidR="00723EE6" w:rsidRPr="00B214A2" w:rsidRDefault="00B214A2" w:rsidP="00F574AB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55699313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How is performance calculated/what baseline is used?</w:t>
      </w:r>
      <w:bookmarkEnd w:id="5"/>
    </w:p>
    <w:p w14:paraId="1430CA50" w14:textId="1F964CE1" w:rsidR="00161E7F" w:rsidRPr="00F574A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4A6A1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671D025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 will employ </w:t>
      </w:r>
      <w:r w:rsidR="007764D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meter reads </w:t>
      </w:r>
      <w:r w:rsidR="00B77D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 </w:t>
      </w:r>
      <w:r w:rsidR="671D025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baseline methodologies similar to what is used in other programs, which may depend on the type of customers participating</w:t>
      </w:r>
      <w:r w:rsidR="00C60658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3414D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The baseline is calculated using the same months</w:t>
      </w:r>
      <w:r w:rsidR="04C6E064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time periods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question from the previous year. </w:t>
      </w:r>
      <w:r w:rsidR="10A10B8D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</w:t>
      </w:r>
      <w:r w:rsidR="003F10D4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example,</w:t>
      </w:r>
      <w:r w:rsidR="10A10B8D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months the aggregator has subscribed to are July-August of </w:t>
      </w:r>
      <w:r w:rsidR="00B77D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2025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the baseline would be the July-August </w:t>
      </w:r>
      <w:r w:rsidR="004A6A1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="002C25D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77D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2024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1654F9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BA8C82C" w14:textId="249FE69D" w:rsidR="00723EE6" w:rsidRPr="00B214A2" w:rsidRDefault="00B214A2" w:rsidP="00F574AB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55699314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Is performance data submitted by the E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nergy </w:t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ervice </w:t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>rovider</w:t>
      </w:r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>(ESP)</w:t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or will the</w:t>
      </w:r>
      <w:r w:rsidR="005702B2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PG&amp;E</w:t>
      </w:r>
      <w:r w:rsidR="00723EE6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calculate performance?</w:t>
      </w:r>
      <w:bookmarkEnd w:id="6"/>
    </w:p>
    <w:p w14:paraId="5C253CC7" w14:textId="53CB2827" w:rsidR="00161E7F" w:rsidRPr="00F574A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4A6A1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IOU will </w:t>
      </w:r>
      <w:r w:rsidR="00EC6A69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assess 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performance of the aggregator using </w:t>
      </w:r>
      <w:r w:rsidR="00EC6A69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metered data and 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baseline energy </w:t>
      </w:r>
      <w:r w:rsidR="722CB1F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methodology for the dispatch period.</w:t>
      </w:r>
    </w:p>
    <w:p w14:paraId="7974FE37" w14:textId="56166E38" w:rsidR="00AC0431" w:rsidRPr="00B77DE6" w:rsidRDefault="00B214A2" w:rsidP="003754EF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55699315"/>
      <w:r w:rsidRPr="00B77DE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8.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23EE6" w:rsidRPr="00B77DE6">
        <w:rPr>
          <w:rFonts w:ascii="Times New Roman" w:hAnsi="Times New Roman" w:cs="Times New Roman"/>
          <w:color w:val="auto"/>
          <w:sz w:val="24"/>
          <w:szCs w:val="24"/>
        </w:rPr>
        <w:t>How is performance determined for a multi-use resource, calculating incrementality?</w:t>
      </w:r>
      <w:r w:rsidR="00AC0431" w:rsidRPr="00B77D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3EE6" w:rsidRPr="00B77DE6">
        <w:rPr>
          <w:rFonts w:ascii="Times New Roman" w:hAnsi="Times New Roman" w:cs="Times New Roman"/>
          <w:color w:val="auto"/>
          <w:sz w:val="24"/>
          <w:szCs w:val="24"/>
        </w:rPr>
        <w:t>For D</w:t>
      </w:r>
      <w:r w:rsidR="00BA0EBF" w:rsidRPr="00B77DE6">
        <w:rPr>
          <w:rFonts w:ascii="Times New Roman" w:hAnsi="Times New Roman" w:cs="Times New Roman"/>
          <w:color w:val="auto"/>
          <w:sz w:val="24"/>
          <w:szCs w:val="24"/>
        </w:rPr>
        <w:t xml:space="preserve">emand </w:t>
      </w:r>
      <w:r w:rsidR="00723EE6" w:rsidRPr="00B77DE6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BA0EBF" w:rsidRPr="00B77DE6">
        <w:rPr>
          <w:rFonts w:ascii="Times New Roman" w:hAnsi="Times New Roman" w:cs="Times New Roman"/>
          <w:color w:val="auto"/>
          <w:sz w:val="24"/>
          <w:szCs w:val="24"/>
        </w:rPr>
        <w:t>esponse</w:t>
      </w:r>
      <w:r w:rsidR="00723EE6" w:rsidRPr="00B77DE6">
        <w:rPr>
          <w:rFonts w:ascii="Times New Roman" w:hAnsi="Times New Roman" w:cs="Times New Roman"/>
          <w:color w:val="auto"/>
          <w:sz w:val="24"/>
          <w:szCs w:val="24"/>
        </w:rPr>
        <w:t>, can capacity that is contracted for certain months participate in other programs in other months if eligible?</w:t>
      </w:r>
      <w:bookmarkEnd w:id="7"/>
      <w:r w:rsidR="00AC0431" w:rsidRPr="00B77D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7EC86D7" w14:textId="0DF25979" w:rsidR="6A1EEFBE" w:rsidRPr="00F574A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AC0431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6A1EEFB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Yes. </w:t>
      </w:r>
      <w:r w:rsidR="005A659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Participants</w:t>
      </w:r>
      <w:r w:rsidR="6A1EEFB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are free to use </w:t>
      </w:r>
      <w:r w:rsidR="005A659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their</w:t>
      </w:r>
      <w:r w:rsidR="6A1EEFB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resources however </w:t>
      </w:r>
      <w:r w:rsidR="005A659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="6A1EEFB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see fit in non-contract months.</w:t>
      </w:r>
    </w:p>
    <w:p w14:paraId="4C80A54B" w14:textId="200DC878" w:rsidR="00723EE6" w:rsidRPr="00B214A2" w:rsidRDefault="00B214A2" w:rsidP="00F574AB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55699316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6E5475EE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How can </w:t>
      </w:r>
      <w:r w:rsidR="005702B2" w:rsidRPr="3FA08F8B">
        <w:rPr>
          <w:rFonts w:ascii="Times New Roman" w:hAnsi="Times New Roman" w:cs="Times New Roman"/>
          <w:color w:val="auto"/>
          <w:sz w:val="24"/>
          <w:szCs w:val="24"/>
        </w:rPr>
        <w:t>a Participant</w:t>
      </w:r>
      <w:r w:rsidR="6E5475EE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determine if a service account is in the eligible area?</w:t>
      </w:r>
      <w:bookmarkEnd w:id="8"/>
    </w:p>
    <w:p w14:paraId="640DAD18" w14:textId="2BBEE676" w:rsidR="78481ED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22C64D69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190AC4FA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hyperlink r:id="rId12">
        <w:r w:rsidR="649828D7" w:rsidRPr="00F574AB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</w:rPr>
          <w:t>DIDF D</w:t>
        </w:r>
        <w:r w:rsidR="190AC4FA" w:rsidRPr="00F574AB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ata </w:t>
        </w:r>
        <w:r w:rsidR="649828D7" w:rsidRPr="00F574AB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</w:rPr>
          <w:t>Access P</w:t>
        </w:r>
        <w:r w:rsidR="190AC4FA" w:rsidRPr="00F574AB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u w:val="none"/>
          </w:rPr>
          <w:t>ortal</w:t>
        </w:r>
      </w:hyperlink>
      <w:r w:rsidR="005702B2" w:rsidRPr="00F574AB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(</w:t>
      </w:r>
      <w:hyperlink r:id="rId13" w:history="1">
        <w:r w:rsidR="005702B2" w:rsidRPr="00F574AB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https://www.pge.com/b2b/distribution-resource-planning/grid-needs-assessment-map.html</w:t>
        </w:r>
      </w:hyperlink>
      <w:r w:rsidR="005702B2" w:rsidRPr="00F574AB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) </w:t>
      </w:r>
      <w:r w:rsidR="190AC4FA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is a good starting point</w:t>
      </w:r>
      <w:r w:rsidR="00795F0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Participants </w:t>
      </w:r>
      <w:r w:rsidR="3510B842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can log in with existing PG&amp;E credentials or create a new account</w:t>
      </w:r>
      <w:r w:rsidR="190AC4FA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795F0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2B611AB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earch for the Partnership Pilot project of interest under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“C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andidate 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eferral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” layer. 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emand 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="03B65D8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orecast</w:t>
      </w:r>
      <w:r w:rsidR="6BCE5741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Scenario” layer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6BCE5741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and the</w:t>
      </w:r>
      <w:r w:rsidR="190AC4FA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6BCE5741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GNA </w:t>
      </w:r>
      <w:r w:rsidR="6BCE5741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Scenario” </w:t>
      </w:r>
      <w:r w:rsidR="04AD791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layer</w:t>
      </w:r>
      <w:r w:rsidR="372E05F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1F4C5C6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will provide additional </w:t>
      </w:r>
      <w:r w:rsidR="40E8E60D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locational </w:t>
      </w:r>
      <w:r w:rsidR="71886222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information</w:t>
      </w:r>
      <w:r w:rsidR="40E8E60D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3E717E1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 the </w:t>
      </w:r>
      <w:r w:rsidR="4F187DE2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Grid Need </w:t>
      </w:r>
      <w:r w:rsidR="4CCD3E86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deficiencies</w:t>
      </w:r>
      <w:r w:rsidR="3E717E1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4CCD3E86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(i.e., </w:t>
      </w:r>
      <w:r w:rsidR="68CD1C1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performance requirements) </w:t>
      </w:r>
      <w:r w:rsidR="2D63E918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associated with the</w:t>
      </w:r>
      <w:r w:rsidR="71886222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Partnership Pilot project of interest.</w:t>
      </w:r>
      <w:r w:rsidR="372E05F5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2B611AB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 example using </w:t>
      </w:r>
      <w:r w:rsidR="000B49B6">
        <w:rPr>
          <w:rFonts w:ascii="Times New Roman" w:eastAsia="Times New Roman" w:hAnsi="Times New Roman" w:cs="Times New Roman"/>
          <w:i/>
          <w:iCs/>
          <w:sz w:val="24"/>
          <w:szCs w:val="24"/>
        </w:rPr>
        <w:t>Henrietta Bank 5</w:t>
      </w:r>
      <w:r w:rsidR="2B611AB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 below</w:t>
      </w:r>
      <w:r w:rsidR="19CAF6D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2B611AB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60D986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Please refer to the User Guide </w:t>
      </w:r>
      <w:r w:rsidR="55AC67F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216F85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r w:rsidR="0A4C8E68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 the top right of the </w:t>
      </w:r>
      <w:r w:rsidR="00795F0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Access Portal </w:t>
      </w:r>
      <w:r w:rsidR="0A4C8E68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page) </w:t>
      </w:r>
      <w:r w:rsidR="060D986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additional guidance on how to </w:t>
      </w:r>
      <w:r w:rsidR="55AC67F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use the Data Access Portal.</w:t>
      </w:r>
      <w:r w:rsidR="2B611AB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8C99555" w14:textId="22E49D41" w:rsidR="78481EDB" w:rsidRPr="0096102B" w:rsidRDefault="000B49B6" w:rsidP="0096102B">
      <w:pPr>
        <w:spacing w:before="60" w:after="100" w:afterAutospacing="1" w:line="240" w:lineRule="auto"/>
        <w:ind w:left="547"/>
        <w:rPr>
          <w:rFonts w:ascii="Times New Roman" w:eastAsiaTheme="minorEastAsia" w:hAnsi="Times New Roman" w:cs="Times New Roman"/>
          <w:i/>
          <w:iCs/>
          <w:sz w:val="24"/>
          <w:szCs w:val="24"/>
          <w:highlight w:val="yellow"/>
        </w:rPr>
      </w:pPr>
      <w:r w:rsidRPr="000B49B6">
        <w:rPr>
          <w:noProof/>
        </w:rPr>
        <w:drawing>
          <wp:inline distT="0" distB="0" distL="0" distR="0" wp14:anchorId="64C6B179" wp14:editId="4B52F165">
            <wp:extent cx="5686425" cy="2874804"/>
            <wp:effectExtent l="0" t="0" r="0" b="1905"/>
            <wp:docPr id="1227506714" name="Picture 1227506714" descr="An example using Henrietta Bank 5 of additional locational information providing Grid Need deficiencies on the “Demand Forecast Scenario” layer and the “GNA Scenario” layer on the DIDF Data Access Por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06714" name="Picture 1227506714" descr="An example using Henrietta Bank 5 of additional locational information providing Grid Need deficiencies on the “Demand Forecast Scenario” layer and the “GNA Scenario” layer on the DIDF Data Access Porta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9299" cy="287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8DD1" w14:textId="7579B330" w:rsidR="00BA0EBF" w:rsidRPr="00B214A2" w:rsidRDefault="00B214A2" w:rsidP="00F574AB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55699317"/>
      <w:r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10.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95F07" w:rsidRPr="3FA08F8B">
        <w:rPr>
          <w:rFonts w:ascii="Times New Roman" w:hAnsi="Times New Roman" w:cs="Times New Roman"/>
          <w:color w:val="auto"/>
          <w:sz w:val="24"/>
          <w:szCs w:val="24"/>
        </w:rPr>
        <w:t>Where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can</w:t>
      </w:r>
      <w:r w:rsidR="00795F07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participants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find data on the </w:t>
      </w:r>
      <w:r w:rsidR="00305F7A">
        <w:rPr>
          <w:rFonts w:ascii="Times New Roman" w:hAnsi="Times New Roman" w:cs="Times New Roman"/>
          <w:color w:val="auto"/>
          <w:sz w:val="24"/>
          <w:szCs w:val="24"/>
        </w:rPr>
        <w:t>Green Valley Bank 4</w:t>
      </w:r>
      <w:r w:rsidR="0083304E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or </w:t>
      </w:r>
      <w:r w:rsidR="00305F7A">
        <w:rPr>
          <w:rFonts w:ascii="Times New Roman" w:hAnsi="Times New Roman" w:cs="Times New Roman"/>
          <w:color w:val="auto"/>
          <w:sz w:val="24"/>
          <w:szCs w:val="24"/>
        </w:rPr>
        <w:t>Camden 1106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circuit</w:t>
      </w:r>
      <w:r w:rsidR="0083304E" w:rsidRPr="3FA08F8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in the </w:t>
      </w:r>
      <w:r w:rsidR="5B545E1A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DIDF </w:t>
      </w:r>
      <w:r w:rsidR="00BA0EBF" w:rsidRPr="3FA08F8B">
        <w:rPr>
          <w:rFonts w:ascii="Times New Roman" w:hAnsi="Times New Roman" w:cs="Times New Roman"/>
          <w:color w:val="auto"/>
          <w:sz w:val="24"/>
          <w:szCs w:val="24"/>
        </w:rPr>
        <w:t>map</w:t>
      </w:r>
      <w:r w:rsidR="00795F07" w:rsidRPr="3FA08F8B">
        <w:rPr>
          <w:rFonts w:ascii="Times New Roman" w:hAnsi="Times New Roman" w:cs="Times New Roman"/>
          <w:color w:val="auto"/>
          <w:sz w:val="24"/>
          <w:szCs w:val="24"/>
        </w:rPr>
        <w:t>?</w:t>
      </w:r>
      <w:bookmarkEnd w:id="9"/>
    </w:p>
    <w:p w14:paraId="4F4C74B9" w14:textId="28C545E8" w:rsidR="00BA0EBF" w:rsidRPr="00F574A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05F7A">
        <w:rPr>
          <w:rFonts w:ascii="Times New Roman" w:eastAsia="Times New Roman" w:hAnsi="Times New Roman" w:cs="Times New Roman"/>
          <w:i/>
          <w:iCs/>
          <w:sz w:val="24"/>
          <w:szCs w:val="24"/>
        </w:rPr>
        <w:t>Green Valley Bank 4 and Camden 1106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32D4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are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new </w:t>
      </w:r>
      <w:r w:rsidR="00C32D4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projects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that has not been built yet. To defer the need for th</w:t>
      </w:r>
      <w:r w:rsidR="00C32D4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ese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project</w:t>
      </w:r>
      <w:r w:rsidR="00C32D40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, the Grid Need</w:t>
      </w:r>
      <w:r w:rsidR="0083304E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 </w:t>
      </w:r>
      <w:r w:rsidR="00305F7A">
        <w:rPr>
          <w:rFonts w:ascii="Times New Roman" w:eastAsia="Times New Roman" w:hAnsi="Times New Roman" w:cs="Times New Roman"/>
          <w:i/>
          <w:iCs/>
          <w:sz w:val="24"/>
          <w:szCs w:val="24"/>
        </w:rPr>
        <w:t>Green Valley Bank 3 and Green Valley Bank 2 and Hardwick Bank 1, Henrietta Bank 5, and Camden 1102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should be met</w:t>
      </w:r>
      <w:r w:rsidR="00305F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 each project, respectively</w:t>
      </w:r>
      <w:r w:rsidR="00BA0EB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Please note, customer information is always in respect to the Grid Need that is being addressed (not the name of the project). </w:t>
      </w:r>
    </w:p>
    <w:p w14:paraId="7E520216" w14:textId="2BFFA875" w:rsidR="00723EE6" w:rsidRPr="00B214A2" w:rsidRDefault="00B214A2" w:rsidP="00F574AB">
      <w:pPr>
        <w:pStyle w:val="Heading1"/>
        <w:ind w:left="540" w:hanging="540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55699318"/>
      <w:r w:rsidRPr="3FA08F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11. 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r w:rsidR="6E5475EE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For the </w:t>
      </w:r>
      <w:r w:rsidR="00305F7A">
        <w:rPr>
          <w:rFonts w:ascii="Times New Roman" w:hAnsi="Times New Roman" w:cs="Times New Roman"/>
          <w:color w:val="auto"/>
          <w:sz w:val="24"/>
          <w:szCs w:val="24"/>
        </w:rPr>
        <w:t>Giffen Bank 2 project</w:t>
      </w:r>
      <w:r w:rsidR="6E5475EE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, how do </w:t>
      </w:r>
      <w:r w:rsidR="00795F07" w:rsidRPr="3FA08F8B">
        <w:rPr>
          <w:rFonts w:ascii="Times New Roman" w:hAnsi="Times New Roman" w:cs="Times New Roman"/>
          <w:color w:val="auto"/>
          <w:sz w:val="24"/>
          <w:szCs w:val="24"/>
        </w:rPr>
        <w:t>Participants</w:t>
      </w:r>
      <w:r w:rsidR="6E5475EE" w:rsidRPr="3FA08F8B">
        <w:rPr>
          <w:rFonts w:ascii="Times New Roman" w:hAnsi="Times New Roman" w:cs="Times New Roman"/>
          <w:color w:val="auto"/>
          <w:sz w:val="24"/>
          <w:szCs w:val="24"/>
        </w:rPr>
        <w:t xml:space="preserve"> obtain more information on the project requirements, including capacity need and event parameters?</w:t>
      </w:r>
      <w:bookmarkEnd w:id="10"/>
    </w:p>
    <w:p w14:paraId="2EB980D0" w14:textId="7C2F31BF" w:rsidR="00161E7F" w:rsidRPr="00F574AB" w:rsidRDefault="00ED4AC6" w:rsidP="00F574A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="00DD23E6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A659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Participants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must sign an NDA. </w:t>
      </w:r>
      <w:r w:rsidR="00F8060C">
        <w:rPr>
          <w:rFonts w:ascii="Times New Roman" w:eastAsia="Times New Roman" w:hAnsi="Times New Roman" w:cs="Times New Roman"/>
          <w:i/>
          <w:iCs/>
          <w:sz w:val="24"/>
          <w:szCs w:val="24"/>
        </w:rPr>
        <w:t>The NDA d</w:t>
      </w:r>
      <w:r w:rsidR="00161E7F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ocument </w:t>
      </w:r>
      <w:r w:rsidR="00F8060C">
        <w:rPr>
          <w:rFonts w:ascii="Times New Roman" w:eastAsia="Times New Roman" w:hAnsi="Times New Roman" w:cs="Times New Roman"/>
          <w:i/>
          <w:iCs/>
          <w:sz w:val="24"/>
          <w:szCs w:val="24"/>
        </w:rPr>
        <w:t>is posted on the</w:t>
      </w:r>
      <w:r w:rsidR="005A659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Partnership Pilot webpa</w:t>
      </w:r>
      <w:r w:rsidR="002C210C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="005A6597" w:rsidRPr="00F574AB">
        <w:rPr>
          <w:rFonts w:ascii="Times New Roman" w:eastAsia="Times New Roman" w:hAnsi="Times New Roman" w:cs="Times New Roman"/>
          <w:i/>
          <w:iCs/>
          <w:sz w:val="24"/>
          <w:szCs w:val="24"/>
        </w:rPr>
        <w:t>e.</w:t>
      </w:r>
    </w:p>
    <w:p w14:paraId="31DE0726" w14:textId="29F3E789" w:rsidR="002C210C" w:rsidRPr="00C141F6" w:rsidRDefault="002C210C" w:rsidP="00A5133F">
      <w:pPr>
        <w:pStyle w:val="Heading1"/>
        <w:ind w:left="547" w:hanging="547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55699319"/>
      <w:r w:rsidRPr="00C141F6">
        <w:rPr>
          <w:rFonts w:ascii="Times New Roman" w:hAnsi="Times New Roman" w:cs="Times New Roman"/>
          <w:color w:val="auto"/>
          <w:sz w:val="24"/>
          <w:szCs w:val="24"/>
        </w:rPr>
        <w:t>12.</w:t>
      </w:r>
      <w:r w:rsidR="00F574AB">
        <w:rPr>
          <w:rFonts w:ascii="Times New Roman" w:hAnsi="Times New Roman" w:cs="Times New Roman"/>
          <w:color w:val="auto"/>
          <w:sz w:val="24"/>
          <w:szCs w:val="24"/>
        </w:rPr>
        <w:tab/>
      </w:r>
      <w:bookmarkStart w:id="12" w:name="_Hlk155686192"/>
      <w:r w:rsidRPr="00C141F6">
        <w:rPr>
          <w:rFonts w:ascii="Times New Roman" w:hAnsi="Times New Roman" w:cs="Times New Roman"/>
          <w:color w:val="auto"/>
          <w:sz w:val="24"/>
          <w:szCs w:val="24"/>
        </w:rPr>
        <w:t>Will there be regular updates available on the amount of reserved capacity for each project before it has been fully subscribed?</w:t>
      </w:r>
      <w:bookmarkEnd w:id="11"/>
      <w:bookmarkEnd w:id="12"/>
    </w:p>
    <w:p w14:paraId="7B72FB96" w14:textId="0012F8AE" w:rsidR="002C210C" w:rsidRPr="00F574AB" w:rsidRDefault="002C210C" w:rsidP="6DAF78FB">
      <w:pPr>
        <w:spacing w:before="60" w:after="100" w:afterAutospacing="1" w:line="240" w:lineRule="auto"/>
        <w:ind w:left="54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DAF78FB">
        <w:rPr>
          <w:rFonts w:ascii="Times New Roman" w:eastAsia="Times New Roman" w:hAnsi="Times New Roman" w:cs="Times New Roman"/>
          <w:i/>
          <w:iCs/>
          <w:sz w:val="24"/>
          <w:szCs w:val="24"/>
        </w:rPr>
        <w:t>Answer: PG&amp;E posts monthly updates on its website.</w:t>
      </w:r>
    </w:p>
    <w:p w14:paraId="4206797A" w14:textId="7CD75A13" w:rsidR="00BA0EBF" w:rsidRPr="00B214A2" w:rsidRDefault="00BA0EBF" w:rsidP="00323B78">
      <w:pPr>
        <w:rPr>
          <w:rFonts w:ascii="Times New Roman" w:hAnsi="Times New Roman" w:cs="Times New Roman"/>
          <w:sz w:val="24"/>
          <w:szCs w:val="24"/>
        </w:rPr>
      </w:pPr>
    </w:p>
    <w:p w14:paraId="54C98E0C" w14:textId="5DA84C11" w:rsidR="00723EE6" w:rsidRPr="00B214A2" w:rsidRDefault="00723EE6" w:rsidP="00F574AB">
      <w:pPr>
        <w:spacing w:beforeAutospacing="1" w:afterAutospacing="1" w:line="240" w:lineRule="auto"/>
        <w:rPr>
          <w:rFonts w:eastAsia="Times New Roman"/>
        </w:rPr>
      </w:pPr>
    </w:p>
    <w:sectPr w:rsidR="00723EE6" w:rsidRPr="00B214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4920" w14:textId="77777777" w:rsidR="003B4915" w:rsidRDefault="003B4915" w:rsidP="006C799A">
      <w:pPr>
        <w:spacing w:after="0" w:line="240" w:lineRule="auto"/>
      </w:pPr>
      <w:r>
        <w:separator/>
      </w:r>
    </w:p>
  </w:endnote>
  <w:endnote w:type="continuationSeparator" w:id="0">
    <w:p w14:paraId="75FF3804" w14:textId="77777777" w:rsidR="003B4915" w:rsidRDefault="003B4915" w:rsidP="006C799A">
      <w:pPr>
        <w:spacing w:after="0" w:line="240" w:lineRule="auto"/>
      </w:pPr>
      <w:r>
        <w:continuationSeparator/>
      </w:r>
    </w:p>
  </w:endnote>
  <w:endnote w:type="continuationNotice" w:id="1">
    <w:p w14:paraId="4C093D0E" w14:textId="77777777" w:rsidR="003B4915" w:rsidRDefault="003B4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9660" w14:textId="77777777" w:rsidR="00CF0CC5" w:rsidRDefault="00CF0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E37A" w14:textId="542C87F6" w:rsidR="00020B3C" w:rsidRDefault="003F35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B68C08F" wp14:editId="4B8D63F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Text Box 1" descr="{&quot;HashCode&quot;:6588583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4BACDA" w14:textId="6C12B62B" w:rsidR="003F35D4" w:rsidRPr="00F574AB" w:rsidRDefault="00F574AB" w:rsidP="00F574A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574A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4B68C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65885835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1E4BACDA" w14:textId="6C12B62B" w:rsidR="003F35D4" w:rsidRPr="00F574AB" w:rsidRDefault="00F574AB" w:rsidP="00F574A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574AB"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4CFD" w14:textId="77777777" w:rsidR="00CF0CC5" w:rsidRDefault="00CF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5C61" w14:textId="77777777" w:rsidR="003B4915" w:rsidRDefault="003B4915" w:rsidP="006C799A">
      <w:pPr>
        <w:spacing w:after="0" w:line="240" w:lineRule="auto"/>
      </w:pPr>
      <w:r>
        <w:separator/>
      </w:r>
    </w:p>
  </w:footnote>
  <w:footnote w:type="continuationSeparator" w:id="0">
    <w:p w14:paraId="4E447F7D" w14:textId="77777777" w:rsidR="003B4915" w:rsidRDefault="003B4915" w:rsidP="006C799A">
      <w:pPr>
        <w:spacing w:after="0" w:line="240" w:lineRule="auto"/>
      </w:pPr>
      <w:r>
        <w:continuationSeparator/>
      </w:r>
    </w:p>
  </w:footnote>
  <w:footnote w:type="continuationNotice" w:id="1">
    <w:p w14:paraId="6BF06F9E" w14:textId="77777777" w:rsidR="003B4915" w:rsidRDefault="003B4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A087" w14:textId="77777777" w:rsidR="00CF0CC5" w:rsidRDefault="00CF0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63F4" w14:textId="77777777" w:rsidR="00CF0CC5" w:rsidRDefault="00CF0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4222" w14:textId="77777777" w:rsidR="00CF0CC5" w:rsidRDefault="00CF0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556"/>
    <w:multiLevelType w:val="multilevel"/>
    <w:tmpl w:val="B2B4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C150E"/>
    <w:multiLevelType w:val="multilevel"/>
    <w:tmpl w:val="DE54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94C5B"/>
    <w:multiLevelType w:val="multilevel"/>
    <w:tmpl w:val="0A6A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B425A"/>
    <w:multiLevelType w:val="hybridMultilevel"/>
    <w:tmpl w:val="6630D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A54B8"/>
    <w:multiLevelType w:val="multilevel"/>
    <w:tmpl w:val="B9603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055294">
    <w:abstractNumId w:val="4"/>
  </w:num>
  <w:num w:numId="2" w16cid:durableId="354189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918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350998">
    <w:abstractNumId w:val="0"/>
  </w:num>
  <w:num w:numId="5" w16cid:durableId="932590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79"/>
    <w:rsid w:val="00005652"/>
    <w:rsid w:val="00020B3C"/>
    <w:rsid w:val="00040727"/>
    <w:rsid w:val="00062197"/>
    <w:rsid w:val="00067A54"/>
    <w:rsid w:val="00080488"/>
    <w:rsid w:val="000A0836"/>
    <w:rsid w:val="000A6970"/>
    <w:rsid w:val="000B49B6"/>
    <w:rsid w:val="000B600E"/>
    <w:rsid w:val="000C1A09"/>
    <w:rsid w:val="000D167E"/>
    <w:rsid w:val="000D6835"/>
    <w:rsid w:val="000F0D96"/>
    <w:rsid w:val="000F2FFD"/>
    <w:rsid w:val="000F4CFC"/>
    <w:rsid w:val="000F5B63"/>
    <w:rsid w:val="000F63E3"/>
    <w:rsid w:val="00114A39"/>
    <w:rsid w:val="00116538"/>
    <w:rsid w:val="001261D4"/>
    <w:rsid w:val="0014298B"/>
    <w:rsid w:val="00161E7F"/>
    <w:rsid w:val="00164BB5"/>
    <w:rsid w:val="001654F9"/>
    <w:rsid w:val="00185157"/>
    <w:rsid w:val="001918E2"/>
    <w:rsid w:val="00193FBF"/>
    <w:rsid w:val="001B0CD6"/>
    <w:rsid w:val="001B123D"/>
    <w:rsid w:val="001B22DF"/>
    <w:rsid w:val="001B2623"/>
    <w:rsid w:val="001B5F3D"/>
    <w:rsid w:val="001C1BBA"/>
    <w:rsid w:val="001C1C2F"/>
    <w:rsid w:val="001D1815"/>
    <w:rsid w:val="001E54A2"/>
    <w:rsid w:val="001F23A1"/>
    <w:rsid w:val="001F2AF2"/>
    <w:rsid w:val="001F2D23"/>
    <w:rsid w:val="00201DD2"/>
    <w:rsid w:val="00222789"/>
    <w:rsid w:val="00235FCC"/>
    <w:rsid w:val="00240F55"/>
    <w:rsid w:val="00241D32"/>
    <w:rsid w:val="00273C48"/>
    <w:rsid w:val="00274286"/>
    <w:rsid w:val="002812B6"/>
    <w:rsid w:val="002925FC"/>
    <w:rsid w:val="002B2FE4"/>
    <w:rsid w:val="002C210C"/>
    <w:rsid w:val="002C25DE"/>
    <w:rsid w:val="002C6C44"/>
    <w:rsid w:val="002C772C"/>
    <w:rsid w:val="002D3CF7"/>
    <w:rsid w:val="002D4583"/>
    <w:rsid w:val="002E385F"/>
    <w:rsid w:val="002F13A0"/>
    <w:rsid w:val="002F7859"/>
    <w:rsid w:val="00304F23"/>
    <w:rsid w:val="00305F7A"/>
    <w:rsid w:val="00323B78"/>
    <w:rsid w:val="00323C76"/>
    <w:rsid w:val="00325AD9"/>
    <w:rsid w:val="00332DCE"/>
    <w:rsid w:val="003414DE"/>
    <w:rsid w:val="0034287C"/>
    <w:rsid w:val="003536D3"/>
    <w:rsid w:val="00360E57"/>
    <w:rsid w:val="003610DD"/>
    <w:rsid w:val="003754EF"/>
    <w:rsid w:val="00383DE0"/>
    <w:rsid w:val="00392CE6"/>
    <w:rsid w:val="00396979"/>
    <w:rsid w:val="003A1FA1"/>
    <w:rsid w:val="003A4358"/>
    <w:rsid w:val="003B4915"/>
    <w:rsid w:val="003B760A"/>
    <w:rsid w:val="003C3EF5"/>
    <w:rsid w:val="003D31CB"/>
    <w:rsid w:val="003E7190"/>
    <w:rsid w:val="003F10D4"/>
    <w:rsid w:val="003F35D4"/>
    <w:rsid w:val="003F7BAB"/>
    <w:rsid w:val="003F7F2D"/>
    <w:rsid w:val="0040578A"/>
    <w:rsid w:val="00417CCF"/>
    <w:rsid w:val="00443E9A"/>
    <w:rsid w:val="004650F0"/>
    <w:rsid w:val="00474D65"/>
    <w:rsid w:val="00476EAD"/>
    <w:rsid w:val="004831D3"/>
    <w:rsid w:val="00492EAF"/>
    <w:rsid w:val="00497F59"/>
    <w:rsid w:val="004A0509"/>
    <w:rsid w:val="004A3FA7"/>
    <w:rsid w:val="004A6A1C"/>
    <w:rsid w:val="004C1A72"/>
    <w:rsid w:val="004C2535"/>
    <w:rsid w:val="004C5E3D"/>
    <w:rsid w:val="004D4EBA"/>
    <w:rsid w:val="004D599F"/>
    <w:rsid w:val="004D5C62"/>
    <w:rsid w:val="004D772F"/>
    <w:rsid w:val="005054B1"/>
    <w:rsid w:val="00536401"/>
    <w:rsid w:val="00550499"/>
    <w:rsid w:val="00552788"/>
    <w:rsid w:val="00554C19"/>
    <w:rsid w:val="0056142A"/>
    <w:rsid w:val="00564ACB"/>
    <w:rsid w:val="00567F09"/>
    <w:rsid w:val="005702B2"/>
    <w:rsid w:val="00577A37"/>
    <w:rsid w:val="005A6597"/>
    <w:rsid w:val="005B3595"/>
    <w:rsid w:val="005B5183"/>
    <w:rsid w:val="005C3436"/>
    <w:rsid w:val="005E290F"/>
    <w:rsid w:val="0060379A"/>
    <w:rsid w:val="006058D6"/>
    <w:rsid w:val="00610E5C"/>
    <w:rsid w:val="00640CB6"/>
    <w:rsid w:val="00642CD5"/>
    <w:rsid w:val="006461F8"/>
    <w:rsid w:val="00661A4B"/>
    <w:rsid w:val="00662902"/>
    <w:rsid w:val="00663DFF"/>
    <w:rsid w:val="006737AB"/>
    <w:rsid w:val="00673F3A"/>
    <w:rsid w:val="006766CA"/>
    <w:rsid w:val="00677441"/>
    <w:rsid w:val="00685EFA"/>
    <w:rsid w:val="006B158F"/>
    <w:rsid w:val="006C24AB"/>
    <w:rsid w:val="006C799A"/>
    <w:rsid w:val="006D0541"/>
    <w:rsid w:val="006D4FD7"/>
    <w:rsid w:val="006D5DC4"/>
    <w:rsid w:val="006E10DE"/>
    <w:rsid w:val="006F3957"/>
    <w:rsid w:val="006F4FD4"/>
    <w:rsid w:val="00716CBB"/>
    <w:rsid w:val="00722884"/>
    <w:rsid w:val="00723EE6"/>
    <w:rsid w:val="0072403D"/>
    <w:rsid w:val="0073582C"/>
    <w:rsid w:val="00742F18"/>
    <w:rsid w:val="007451B8"/>
    <w:rsid w:val="00755179"/>
    <w:rsid w:val="00764586"/>
    <w:rsid w:val="00767CC8"/>
    <w:rsid w:val="00775758"/>
    <w:rsid w:val="007764DC"/>
    <w:rsid w:val="00780944"/>
    <w:rsid w:val="0078783C"/>
    <w:rsid w:val="00790BBE"/>
    <w:rsid w:val="00795F07"/>
    <w:rsid w:val="007A7EE9"/>
    <w:rsid w:val="007E3F48"/>
    <w:rsid w:val="007F259C"/>
    <w:rsid w:val="007F2FF2"/>
    <w:rsid w:val="008055DE"/>
    <w:rsid w:val="008066D5"/>
    <w:rsid w:val="00810220"/>
    <w:rsid w:val="0081119C"/>
    <w:rsid w:val="00811CA3"/>
    <w:rsid w:val="00812A16"/>
    <w:rsid w:val="008171C2"/>
    <w:rsid w:val="00823442"/>
    <w:rsid w:val="008253F2"/>
    <w:rsid w:val="0083304E"/>
    <w:rsid w:val="008551C4"/>
    <w:rsid w:val="00866155"/>
    <w:rsid w:val="008669AF"/>
    <w:rsid w:val="008B09B6"/>
    <w:rsid w:val="008C5D74"/>
    <w:rsid w:val="008C7BEB"/>
    <w:rsid w:val="008E6A0F"/>
    <w:rsid w:val="009066AF"/>
    <w:rsid w:val="00907E53"/>
    <w:rsid w:val="009138AE"/>
    <w:rsid w:val="00937129"/>
    <w:rsid w:val="0094266E"/>
    <w:rsid w:val="00957EA7"/>
    <w:rsid w:val="0096102B"/>
    <w:rsid w:val="00961F3A"/>
    <w:rsid w:val="00964FAD"/>
    <w:rsid w:val="00975DE4"/>
    <w:rsid w:val="00982C2A"/>
    <w:rsid w:val="00991805"/>
    <w:rsid w:val="009925A5"/>
    <w:rsid w:val="009928DF"/>
    <w:rsid w:val="00995242"/>
    <w:rsid w:val="009A22A1"/>
    <w:rsid w:val="009A3F08"/>
    <w:rsid w:val="009A7F01"/>
    <w:rsid w:val="009B5955"/>
    <w:rsid w:val="009C39AB"/>
    <w:rsid w:val="009D34AE"/>
    <w:rsid w:val="009D6A60"/>
    <w:rsid w:val="009D7687"/>
    <w:rsid w:val="009E2BD2"/>
    <w:rsid w:val="009F7573"/>
    <w:rsid w:val="00A05899"/>
    <w:rsid w:val="00A135B4"/>
    <w:rsid w:val="00A2586F"/>
    <w:rsid w:val="00A44406"/>
    <w:rsid w:val="00A50B43"/>
    <w:rsid w:val="00A5133F"/>
    <w:rsid w:val="00A61D6F"/>
    <w:rsid w:val="00A6381E"/>
    <w:rsid w:val="00A913F2"/>
    <w:rsid w:val="00A9699D"/>
    <w:rsid w:val="00AA3585"/>
    <w:rsid w:val="00AB61A3"/>
    <w:rsid w:val="00AC0431"/>
    <w:rsid w:val="00AD4E6D"/>
    <w:rsid w:val="00AD5FBA"/>
    <w:rsid w:val="00AE127F"/>
    <w:rsid w:val="00AE401A"/>
    <w:rsid w:val="00AE42FC"/>
    <w:rsid w:val="00AF7D1A"/>
    <w:rsid w:val="00B0259B"/>
    <w:rsid w:val="00B07434"/>
    <w:rsid w:val="00B214A2"/>
    <w:rsid w:val="00B2612F"/>
    <w:rsid w:val="00B41CCE"/>
    <w:rsid w:val="00B42A05"/>
    <w:rsid w:val="00B75255"/>
    <w:rsid w:val="00B75C83"/>
    <w:rsid w:val="00B77DBF"/>
    <w:rsid w:val="00B77DE6"/>
    <w:rsid w:val="00B93E27"/>
    <w:rsid w:val="00B94754"/>
    <w:rsid w:val="00BA0EBF"/>
    <w:rsid w:val="00BA7306"/>
    <w:rsid w:val="00BC3444"/>
    <w:rsid w:val="00BD3820"/>
    <w:rsid w:val="00BE4D93"/>
    <w:rsid w:val="00C01172"/>
    <w:rsid w:val="00C03FAA"/>
    <w:rsid w:val="00C07A24"/>
    <w:rsid w:val="00C141F6"/>
    <w:rsid w:val="00C1661C"/>
    <w:rsid w:val="00C27E8D"/>
    <w:rsid w:val="00C324BD"/>
    <w:rsid w:val="00C32D40"/>
    <w:rsid w:val="00C4312F"/>
    <w:rsid w:val="00C44DBB"/>
    <w:rsid w:val="00C60658"/>
    <w:rsid w:val="00C72373"/>
    <w:rsid w:val="00C729FF"/>
    <w:rsid w:val="00C830E6"/>
    <w:rsid w:val="00C8323B"/>
    <w:rsid w:val="00C92063"/>
    <w:rsid w:val="00C952B4"/>
    <w:rsid w:val="00CA1FF2"/>
    <w:rsid w:val="00CA5595"/>
    <w:rsid w:val="00CC1CA6"/>
    <w:rsid w:val="00CC71C2"/>
    <w:rsid w:val="00CF0CC5"/>
    <w:rsid w:val="00D5192E"/>
    <w:rsid w:val="00D605EC"/>
    <w:rsid w:val="00D6444A"/>
    <w:rsid w:val="00D66F8A"/>
    <w:rsid w:val="00D71802"/>
    <w:rsid w:val="00D71B40"/>
    <w:rsid w:val="00D75692"/>
    <w:rsid w:val="00D864A8"/>
    <w:rsid w:val="00D91E86"/>
    <w:rsid w:val="00D928CC"/>
    <w:rsid w:val="00D93033"/>
    <w:rsid w:val="00DA2114"/>
    <w:rsid w:val="00DA70C2"/>
    <w:rsid w:val="00DD23E6"/>
    <w:rsid w:val="00DD764E"/>
    <w:rsid w:val="00DE08B5"/>
    <w:rsid w:val="00DE5123"/>
    <w:rsid w:val="00DE5378"/>
    <w:rsid w:val="00DF4F49"/>
    <w:rsid w:val="00E04998"/>
    <w:rsid w:val="00E1426C"/>
    <w:rsid w:val="00E2471A"/>
    <w:rsid w:val="00E3298C"/>
    <w:rsid w:val="00E563A2"/>
    <w:rsid w:val="00E66332"/>
    <w:rsid w:val="00E73AC7"/>
    <w:rsid w:val="00E76B0C"/>
    <w:rsid w:val="00E773DA"/>
    <w:rsid w:val="00E83F94"/>
    <w:rsid w:val="00E94F49"/>
    <w:rsid w:val="00EC2846"/>
    <w:rsid w:val="00EC6A69"/>
    <w:rsid w:val="00ED05F3"/>
    <w:rsid w:val="00ED4AC6"/>
    <w:rsid w:val="00ED575B"/>
    <w:rsid w:val="00ED5818"/>
    <w:rsid w:val="00ED6ED6"/>
    <w:rsid w:val="00EE5B22"/>
    <w:rsid w:val="00EF5CA8"/>
    <w:rsid w:val="00F05D4C"/>
    <w:rsid w:val="00F172FE"/>
    <w:rsid w:val="00F247EB"/>
    <w:rsid w:val="00F37482"/>
    <w:rsid w:val="00F54048"/>
    <w:rsid w:val="00F574AB"/>
    <w:rsid w:val="00F638EF"/>
    <w:rsid w:val="00F70867"/>
    <w:rsid w:val="00F737EF"/>
    <w:rsid w:val="00F8060C"/>
    <w:rsid w:val="00F93BD9"/>
    <w:rsid w:val="00FA0352"/>
    <w:rsid w:val="00FB5FE1"/>
    <w:rsid w:val="00FB7610"/>
    <w:rsid w:val="00FC1645"/>
    <w:rsid w:val="00FD103F"/>
    <w:rsid w:val="00FD4495"/>
    <w:rsid w:val="00FF62AA"/>
    <w:rsid w:val="00FF71F4"/>
    <w:rsid w:val="012AD109"/>
    <w:rsid w:val="01787646"/>
    <w:rsid w:val="027C87FD"/>
    <w:rsid w:val="027CB8C8"/>
    <w:rsid w:val="0310DCD0"/>
    <w:rsid w:val="03B65D85"/>
    <w:rsid w:val="03D7A28E"/>
    <w:rsid w:val="04AD791E"/>
    <w:rsid w:val="04C6E064"/>
    <w:rsid w:val="053E45C3"/>
    <w:rsid w:val="0548300A"/>
    <w:rsid w:val="060D9860"/>
    <w:rsid w:val="06C28910"/>
    <w:rsid w:val="0722C04C"/>
    <w:rsid w:val="0739417B"/>
    <w:rsid w:val="07E3C882"/>
    <w:rsid w:val="080D4D3C"/>
    <w:rsid w:val="08AFAE1C"/>
    <w:rsid w:val="08DD81FC"/>
    <w:rsid w:val="0946C11E"/>
    <w:rsid w:val="09A93EA0"/>
    <w:rsid w:val="09FF70EB"/>
    <w:rsid w:val="0A22B71B"/>
    <w:rsid w:val="0A4C8E68"/>
    <w:rsid w:val="0AAD8E5A"/>
    <w:rsid w:val="0AD3B208"/>
    <w:rsid w:val="0B831584"/>
    <w:rsid w:val="0BBE5468"/>
    <w:rsid w:val="0C1B38A4"/>
    <w:rsid w:val="0CAA9D45"/>
    <w:rsid w:val="0CF27FDB"/>
    <w:rsid w:val="0D17F579"/>
    <w:rsid w:val="0D77B8CD"/>
    <w:rsid w:val="0D925D39"/>
    <w:rsid w:val="0DC68EAC"/>
    <w:rsid w:val="0E29EEF0"/>
    <w:rsid w:val="0E7CAFC3"/>
    <w:rsid w:val="0EFF15BD"/>
    <w:rsid w:val="0FDDCD25"/>
    <w:rsid w:val="1050D7AA"/>
    <w:rsid w:val="105686A7"/>
    <w:rsid w:val="10A10B8D"/>
    <w:rsid w:val="11673A3A"/>
    <w:rsid w:val="119EE7C9"/>
    <w:rsid w:val="130CBEAC"/>
    <w:rsid w:val="144C0335"/>
    <w:rsid w:val="15437F55"/>
    <w:rsid w:val="159737F1"/>
    <w:rsid w:val="15B9B932"/>
    <w:rsid w:val="16149A2A"/>
    <w:rsid w:val="1625DA19"/>
    <w:rsid w:val="187EBAE4"/>
    <w:rsid w:val="189A91F9"/>
    <w:rsid w:val="189BB7C3"/>
    <w:rsid w:val="18C3064E"/>
    <w:rsid w:val="190AC4FA"/>
    <w:rsid w:val="197B6CB2"/>
    <w:rsid w:val="19881A7D"/>
    <w:rsid w:val="19CAF6D0"/>
    <w:rsid w:val="19E3A918"/>
    <w:rsid w:val="19F0D82D"/>
    <w:rsid w:val="1A67421F"/>
    <w:rsid w:val="1A696461"/>
    <w:rsid w:val="1A7CA6BE"/>
    <w:rsid w:val="1B217623"/>
    <w:rsid w:val="1C100A2F"/>
    <w:rsid w:val="1D425B53"/>
    <w:rsid w:val="1D9DFC4B"/>
    <w:rsid w:val="1E585EB8"/>
    <w:rsid w:val="1F4C5C6E"/>
    <w:rsid w:val="1FF7F379"/>
    <w:rsid w:val="2031F8B7"/>
    <w:rsid w:val="205D2E93"/>
    <w:rsid w:val="20EC4DE4"/>
    <w:rsid w:val="216F857F"/>
    <w:rsid w:val="218CD36E"/>
    <w:rsid w:val="21BC6918"/>
    <w:rsid w:val="21BF926C"/>
    <w:rsid w:val="223A060C"/>
    <w:rsid w:val="22C64D69"/>
    <w:rsid w:val="233E2E49"/>
    <w:rsid w:val="23B7EFE3"/>
    <w:rsid w:val="242145B4"/>
    <w:rsid w:val="25034EBB"/>
    <w:rsid w:val="25D65ECB"/>
    <w:rsid w:val="26A833FA"/>
    <w:rsid w:val="273E3926"/>
    <w:rsid w:val="27819C7E"/>
    <w:rsid w:val="27CED680"/>
    <w:rsid w:val="28232AA9"/>
    <w:rsid w:val="28C0E12A"/>
    <w:rsid w:val="2A55C11F"/>
    <w:rsid w:val="2ADB3CA0"/>
    <w:rsid w:val="2B611ABC"/>
    <w:rsid w:val="2BCB3B01"/>
    <w:rsid w:val="2D63E918"/>
    <w:rsid w:val="2D6AD4C4"/>
    <w:rsid w:val="2D88D588"/>
    <w:rsid w:val="2E2C30A1"/>
    <w:rsid w:val="2EB5D0D0"/>
    <w:rsid w:val="2F4776DF"/>
    <w:rsid w:val="2F6340D3"/>
    <w:rsid w:val="2FED6702"/>
    <w:rsid w:val="3136A3C6"/>
    <w:rsid w:val="3139364F"/>
    <w:rsid w:val="315478B1"/>
    <w:rsid w:val="32259A3D"/>
    <w:rsid w:val="3232A275"/>
    <w:rsid w:val="325F4BDC"/>
    <w:rsid w:val="331774FB"/>
    <w:rsid w:val="33360CA8"/>
    <w:rsid w:val="33A89CAE"/>
    <w:rsid w:val="33F117F7"/>
    <w:rsid w:val="34130D58"/>
    <w:rsid w:val="34F0FDD0"/>
    <w:rsid w:val="3510B842"/>
    <w:rsid w:val="35710342"/>
    <w:rsid w:val="359503B6"/>
    <w:rsid w:val="35AEDDB9"/>
    <w:rsid w:val="35C6DDF6"/>
    <w:rsid w:val="35E23012"/>
    <w:rsid w:val="372E05F5"/>
    <w:rsid w:val="379FCCB3"/>
    <w:rsid w:val="37B13721"/>
    <w:rsid w:val="38B97CDC"/>
    <w:rsid w:val="38D1FF9B"/>
    <w:rsid w:val="38F28D76"/>
    <w:rsid w:val="3913EB70"/>
    <w:rsid w:val="3947CA75"/>
    <w:rsid w:val="3A5065EB"/>
    <w:rsid w:val="3A58CCFF"/>
    <w:rsid w:val="3A59411C"/>
    <w:rsid w:val="3AA09D20"/>
    <w:rsid w:val="3B6E202C"/>
    <w:rsid w:val="3BBF1864"/>
    <w:rsid w:val="3BDD7E6C"/>
    <w:rsid w:val="3BE826A2"/>
    <w:rsid w:val="3BEBC4E6"/>
    <w:rsid w:val="3C88E837"/>
    <w:rsid w:val="3D678974"/>
    <w:rsid w:val="3E717E17"/>
    <w:rsid w:val="3F272353"/>
    <w:rsid w:val="3FA08F8B"/>
    <w:rsid w:val="406D2790"/>
    <w:rsid w:val="40E8E60D"/>
    <w:rsid w:val="40F0F4CB"/>
    <w:rsid w:val="414B0E9F"/>
    <w:rsid w:val="4218D324"/>
    <w:rsid w:val="422058EF"/>
    <w:rsid w:val="436BC595"/>
    <w:rsid w:val="43C812E1"/>
    <w:rsid w:val="443E63EB"/>
    <w:rsid w:val="4523E064"/>
    <w:rsid w:val="454A4E04"/>
    <w:rsid w:val="46902292"/>
    <w:rsid w:val="47470DF2"/>
    <w:rsid w:val="47D883B4"/>
    <w:rsid w:val="4873E357"/>
    <w:rsid w:val="49FAE179"/>
    <w:rsid w:val="4A1EB8E8"/>
    <w:rsid w:val="4A361FD5"/>
    <w:rsid w:val="4A4556BF"/>
    <w:rsid w:val="4A904F2D"/>
    <w:rsid w:val="4AFABBBA"/>
    <w:rsid w:val="4B704475"/>
    <w:rsid w:val="4B802D52"/>
    <w:rsid w:val="4CCD3E86"/>
    <w:rsid w:val="4D32823B"/>
    <w:rsid w:val="4D9468ED"/>
    <w:rsid w:val="4DA7D726"/>
    <w:rsid w:val="4E6ACBE3"/>
    <w:rsid w:val="4E9F214D"/>
    <w:rsid w:val="4ED2989D"/>
    <w:rsid w:val="4F08491A"/>
    <w:rsid w:val="4F187DE2"/>
    <w:rsid w:val="4F295DBB"/>
    <w:rsid w:val="4FB262BC"/>
    <w:rsid w:val="4FE0F62F"/>
    <w:rsid w:val="50F67953"/>
    <w:rsid w:val="512B5F43"/>
    <w:rsid w:val="515DE5F0"/>
    <w:rsid w:val="51E24EC0"/>
    <w:rsid w:val="52A76A6F"/>
    <w:rsid w:val="52F9B651"/>
    <w:rsid w:val="5396ABE9"/>
    <w:rsid w:val="53BC2187"/>
    <w:rsid w:val="540D2921"/>
    <w:rsid w:val="550BC1FD"/>
    <w:rsid w:val="5599CCE8"/>
    <w:rsid w:val="55AC67F0"/>
    <w:rsid w:val="578C869D"/>
    <w:rsid w:val="5938FE99"/>
    <w:rsid w:val="59CF2678"/>
    <w:rsid w:val="5A51064B"/>
    <w:rsid w:val="5AE8A75F"/>
    <w:rsid w:val="5B545E1A"/>
    <w:rsid w:val="5C0A2AA7"/>
    <w:rsid w:val="5C197DC9"/>
    <w:rsid w:val="5E5FB387"/>
    <w:rsid w:val="5F38D351"/>
    <w:rsid w:val="60B526EE"/>
    <w:rsid w:val="648801C1"/>
    <w:rsid w:val="649828D7"/>
    <w:rsid w:val="64F81EB7"/>
    <w:rsid w:val="6502D95C"/>
    <w:rsid w:val="655B4649"/>
    <w:rsid w:val="6582866C"/>
    <w:rsid w:val="658B6BF4"/>
    <w:rsid w:val="659DFF03"/>
    <w:rsid w:val="65CACBC7"/>
    <w:rsid w:val="663D720A"/>
    <w:rsid w:val="6653F32C"/>
    <w:rsid w:val="66EFE1D2"/>
    <w:rsid w:val="671D0255"/>
    <w:rsid w:val="67CA22E1"/>
    <w:rsid w:val="67D72E26"/>
    <w:rsid w:val="684CF747"/>
    <w:rsid w:val="68CD1C15"/>
    <w:rsid w:val="69A069D3"/>
    <w:rsid w:val="69C5DF71"/>
    <w:rsid w:val="69E23899"/>
    <w:rsid w:val="6A0A23D2"/>
    <w:rsid w:val="6A1EEFBE"/>
    <w:rsid w:val="6B78A5AA"/>
    <w:rsid w:val="6BC0BDD2"/>
    <w:rsid w:val="6BCE5741"/>
    <w:rsid w:val="6CB09126"/>
    <w:rsid w:val="6CE03C06"/>
    <w:rsid w:val="6D0FE05C"/>
    <w:rsid w:val="6D2FAF40"/>
    <w:rsid w:val="6DAF78FB"/>
    <w:rsid w:val="6E4CD1C1"/>
    <w:rsid w:val="6E5475EE"/>
    <w:rsid w:val="6EFAA0AB"/>
    <w:rsid w:val="6F3E0403"/>
    <w:rsid w:val="6F66224D"/>
    <w:rsid w:val="70F9ED2D"/>
    <w:rsid w:val="71886222"/>
    <w:rsid w:val="718B62EF"/>
    <w:rsid w:val="72096C50"/>
    <w:rsid w:val="722CB1FE"/>
    <w:rsid w:val="731D5513"/>
    <w:rsid w:val="73567F80"/>
    <w:rsid w:val="75558E1F"/>
    <w:rsid w:val="75C91C77"/>
    <w:rsid w:val="75DDA329"/>
    <w:rsid w:val="75E4BC28"/>
    <w:rsid w:val="768E0BD5"/>
    <w:rsid w:val="78481EDB"/>
    <w:rsid w:val="78AE2C20"/>
    <w:rsid w:val="78DBF724"/>
    <w:rsid w:val="7AD7046E"/>
    <w:rsid w:val="7C4A4EA6"/>
    <w:rsid w:val="7D3EDB17"/>
    <w:rsid w:val="7DAF6847"/>
    <w:rsid w:val="7DC107C5"/>
    <w:rsid w:val="7E33D117"/>
    <w:rsid w:val="7E85B236"/>
    <w:rsid w:val="7E8EDC32"/>
    <w:rsid w:val="7EB5DE65"/>
    <w:rsid w:val="7EB964BA"/>
    <w:rsid w:val="7F0A867C"/>
    <w:rsid w:val="7F6530CE"/>
    <w:rsid w:val="7FEBF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9CD1D"/>
  <w15:chartTrackingRefBased/>
  <w15:docId w15:val="{3818E7F6-0209-409B-965F-20AD72DC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E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AC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E71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76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7A3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F0D9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4266E"/>
    <w:pPr>
      <w:tabs>
        <w:tab w:val="right" w:leader="dot" w:pos="9360"/>
      </w:tabs>
      <w:spacing w:after="240" w:line="240" w:lineRule="auto"/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02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B3C"/>
  </w:style>
  <w:style w:type="paragraph" w:styleId="Footer">
    <w:name w:val="footer"/>
    <w:basedOn w:val="Normal"/>
    <w:link w:val="FooterChar"/>
    <w:uiPriority w:val="99"/>
    <w:unhideWhenUsed/>
    <w:rsid w:val="0002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B3C"/>
  </w:style>
  <w:style w:type="paragraph" w:styleId="Revision">
    <w:name w:val="Revision"/>
    <w:hidden/>
    <w:uiPriority w:val="99"/>
    <w:semiHidden/>
    <w:rsid w:val="00605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ge.com/b2b/distribution-resource-planning/grid-needs-assessment-map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ge.com/b2b/distribution-resource-planning/grid-needs-assessment-map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6" ma:contentTypeDescription="Create a new document." ma:contentTypeScope="" ma:versionID="d5d517df88069e84e2f072c9bb00a2d7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51d42c703a0782cd8fd43aa71282a7d5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Subkect" minOccurs="0"/>
                <xsd:element ref="ns3:From" minOccurs="0"/>
                <xsd:element ref="ns3:To" minOccurs="0"/>
                <xsd:element ref="ns3:DateReceived_x002f_DateSent" minOccurs="0"/>
                <xsd:element ref="ns3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kect" ma:index="30" nillable="true" ma:displayName="Subject" ma:format="Dropdown" ma:internalName="Subkect">
      <xsd:simpleType>
        <xsd:restriction base="dms:Note">
          <xsd:maxLength value="255"/>
        </xsd:restriction>
      </xsd:simpleType>
    </xsd:element>
    <xsd:element name="From" ma:index="31" nillable="true" ma:displayName="From" ma:format="Dropdown" ma:internalName="From">
      <xsd:simpleType>
        <xsd:restriction base="dms:Note">
          <xsd:maxLength value="255"/>
        </xsd:restriction>
      </xsd:simpleType>
    </xsd:element>
    <xsd:element name="To" ma:index="32" nillable="true" ma:displayName="To" ma:format="Dropdown" ma:internalName="To">
      <xsd:simpleType>
        <xsd:restriction base="dms:Note">
          <xsd:maxLength value="255"/>
        </xsd:restriction>
      </xsd:simpleType>
    </xsd:element>
    <xsd:element name="DateReceived_x002f_DateSent" ma:index="33" nillable="true" ma:displayName="Date Received / Date Sent" ma:format="DateOnly" ma:indexed="true" ma:internalName="DateReceived_x002f_DateSent">
      <xsd:simpleType>
        <xsd:restriction base="dms:DateTime"/>
      </xsd:simpleType>
    </xsd:element>
    <xsd:element name="Attachment" ma:index="34" nillable="true" ma:displayName="Attachment" ma:default="0" ma:format="Dropdown" ma:internalName="Attach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1023ccf-7cb6-4ee1-9475-b660b0644bb5" ContentTypeId="0x01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  <Subkect xmlns="52a836be-a005-401a-9905-42851ac38505" xsi:nil="true"/>
    <To xmlns="52a836be-a005-401a-9905-42851ac38505" xsi:nil="true"/>
    <Attachment xmlns="52a836be-a005-401a-9905-42851ac38505">false</Attachment>
    <DateReceived_x002f_DateSent xmlns="52a836be-a005-401a-9905-42851ac38505" xsi:nil="true"/>
    <From xmlns="52a836be-a005-401a-9905-42851ac3850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E39A-3AD5-426F-A690-EE623323B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1474B-85F4-41B5-A5FE-9E4F1A922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25703-A6E9-4D2C-B832-DB18311DE82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12B616F-710B-4EE7-BD52-1979B0015DFD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52a836be-a005-401a-9905-42851ac38505"/>
  </ds:schemaRefs>
</ds:datastoreItem>
</file>

<file path=customXml/itemProps5.xml><?xml version="1.0" encoding="utf-8"?>
<ds:datastoreItem xmlns:ds="http://schemas.openxmlformats.org/officeDocument/2006/customXml" ds:itemID="{FBF0E56A-5A14-4A0C-9623-3ECE8236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Links>
    <vt:vector size="84" baseType="variant">
      <vt:variant>
        <vt:i4>983123</vt:i4>
      </vt:variant>
      <vt:variant>
        <vt:i4>78</vt:i4>
      </vt:variant>
      <vt:variant>
        <vt:i4>0</vt:i4>
      </vt:variant>
      <vt:variant>
        <vt:i4>5</vt:i4>
      </vt:variant>
      <vt:variant>
        <vt:lpwstr>https://www.pge.com/b2b/distribution-resource-planning/grid-needs-assessment-map.html</vt:lpwstr>
      </vt:variant>
      <vt:variant>
        <vt:lpwstr/>
      </vt:variant>
      <vt:variant>
        <vt:i4>983123</vt:i4>
      </vt:variant>
      <vt:variant>
        <vt:i4>75</vt:i4>
      </vt:variant>
      <vt:variant>
        <vt:i4>0</vt:i4>
      </vt:variant>
      <vt:variant>
        <vt:i4>5</vt:i4>
      </vt:variant>
      <vt:variant>
        <vt:lpwstr>https://www.pge.com/b2b/distribution-resource-planning/grid-needs-assessment-map.html</vt:lpwstr>
      </vt:variant>
      <vt:variant>
        <vt:lpwstr/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_Toc155699319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_Toc155699318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_Toc155699317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_Toc155699316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_Toc155699315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_Toc155699314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_Toc155699313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_Toc155699312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_Toc155699311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_Toc155699310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_Toc155699309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_Toc155699308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Jayne (she/her/hers)</dc:creator>
  <cp:keywords/>
  <dc:description/>
  <cp:lastModifiedBy>Budinger, Rob</cp:lastModifiedBy>
  <cp:revision>35</cp:revision>
  <dcterms:created xsi:type="dcterms:W3CDTF">2024-01-09T01:58:00Z</dcterms:created>
  <dcterms:modified xsi:type="dcterms:W3CDTF">2024-01-09T20:53:00Z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MediaServiceImageTags">
    <vt:lpwstr/>
  </property>
  <property fmtid="{D5CDD505-2E9C-101B-9397-08002B2CF9AE}" pid="4" name="pgeRecordCategory">
    <vt:lpwstr/>
  </property>
  <property fmtid="{D5CDD505-2E9C-101B-9397-08002B2CF9AE}" pid="5" name="MSIP_Label_af2578ee-155b-4d7a-af96-95fe7c4d21be_Enabled">
    <vt:lpwstr>true</vt:lpwstr>
  </property>
  <property fmtid="{D5CDD505-2E9C-101B-9397-08002B2CF9AE}" pid="6" name="MSIP_Label_af2578ee-155b-4d7a-af96-95fe7c4d21be_SetDate">
    <vt:lpwstr>2023-01-16T00:45:38Z</vt:lpwstr>
  </property>
  <property fmtid="{D5CDD505-2E9C-101B-9397-08002B2CF9AE}" pid="7" name="MSIP_Label_af2578ee-155b-4d7a-af96-95fe7c4d21be_Method">
    <vt:lpwstr>Privileged</vt:lpwstr>
  </property>
  <property fmtid="{D5CDD505-2E9C-101B-9397-08002B2CF9AE}" pid="8" name="MSIP_Label_af2578ee-155b-4d7a-af96-95fe7c4d21be_Name">
    <vt:lpwstr>Public</vt:lpwstr>
  </property>
  <property fmtid="{D5CDD505-2E9C-101B-9397-08002B2CF9AE}" pid="9" name="MSIP_Label_af2578ee-155b-4d7a-af96-95fe7c4d21be_SiteId">
    <vt:lpwstr>44ae661a-ece6-41aa-bc96-7c2c85a08941</vt:lpwstr>
  </property>
  <property fmtid="{D5CDD505-2E9C-101B-9397-08002B2CF9AE}" pid="10" name="MSIP_Label_af2578ee-155b-4d7a-af96-95fe7c4d21be_ActionId">
    <vt:lpwstr>220989b6-d7a6-436d-b765-2e9a8d360faf</vt:lpwstr>
  </property>
  <property fmtid="{D5CDD505-2E9C-101B-9397-08002B2CF9AE}" pid="11" name="MSIP_Label_af2578ee-155b-4d7a-af96-95fe7c4d21be_ContentBits">
    <vt:lpwstr>3</vt:lpwstr>
  </property>
</Properties>
</file>