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25A6" w14:textId="40C46A08" w:rsidR="00F51FE1" w:rsidRPr="00081AFF" w:rsidRDefault="001C40CF" w:rsidP="0075120F">
      <w:pPr>
        <w:pStyle w:val="Title"/>
        <w:rPr>
          <w:bCs/>
          <w:caps/>
          <w:szCs w:val="24"/>
        </w:rPr>
      </w:pPr>
      <w:r w:rsidRPr="00081AFF">
        <w:t>M</w:t>
      </w:r>
      <w:bookmarkStart w:id="0" w:name="_Ref144006007"/>
      <w:bookmarkEnd w:id="0"/>
      <w:r w:rsidRPr="00081AFF">
        <w:t>ASTER POWER PURCHASE AND SALE AGREEMENT</w:t>
      </w:r>
      <w:r>
        <w:br/>
      </w:r>
      <w:r w:rsidRPr="00081AFF">
        <w:rPr>
          <w:bCs/>
          <w:caps/>
          <w:szCs w:val="24"/>
        </w:rPr>
        <w:t>RESOURCE ADEQUACY Confirmation Letter</w:t>
      </w:r>
      <w:r>
        <w:rPr>
          <w:bCs/>
          <w:caps/>
          <w:szCs w:val="24"/>
        </w:rPr>
        <w:br/>
      </w:r>
      <w:r w:rsidRPr="00081AFF">
        <w:rPr>
          <w:bCs/>
          <w:caps/>
          <w:szCs w:val="24"/>
        </w:rPr>
        <w:t>BETWEEN</w:t>
      </w:r>
      <w:r>
        <w:rPr>
          <w:bCs/>
          <w:caps/>
          <w:szCs w:val="24"/>
        </w:rPr>
        <w:br/>
      </w:r>
      <w:r w:rsidRPr="003A33BA">
        <w:rPr>
          <w:bCs/>
          <w:caps/>
          <w:szCs w:val="24"/>
          <w:highlight w:val="yellow"/>
        </w:rPr>
        <w:t>[PARTY A NAME]</w:t>
      </w:r>
      <w:r w:rsidRPr="00081AFF">
        <w:rPr>
          <w:bCs/>
          <w:caps/>
          <w:szCs w:val="24"/>
        </w:rPr>
        <w:t xml:space="preserve"> (“Party A”)</w:t>
      </w:r>
      <w:r>
        <w:rPr>
          <w:bCs/>
          <w:caps/>
          <w:szCs w:val="24"/>
        </w:rPr>
        <w:br/>
      </w:r>
      <w:r w:rsidRPr="00081AFF">
        <w:rPr>
          <w:bCs/>
          <w:caps/>
          <w:szCs w:val="24"/>
        </w:rPr>
        <w:t>AND</w:t>
      </w:r>
      <w:r>
        <w:rPr>
          <w:bCs/>
          <w:caps/>
          <w:szCs w:val="24"/>
        </w:rPr>
        <w:br/>
      </w:r>
      <w:r w:rsidR="00635382">
        <w:t>PACIFIC GAS AND ELECTRIC COMPANY</w:t>
      </w:r>
      <w:r w:rsidR="00635382">
        <w:rPr>
          <w:caps/>
        </w:rPr>
        <w:t xml:space="preserve"> </w:t>
      </w:r>
      <w:r w:rsidRPr="00081AFF">
        <w:rPr>
          <w:bCs/>
          <w:caps/>
          <w:szCs w:val="24"/>
        </w:rPr>
        <w:t>(“PARTY B”)</w:t>
      </w:r>
      <w:r w:rsidR="00EC70F4">
        <w:rPr>
          <w:bCs/>
          <w:caps/>
          <w:szCs w:val="24"/>
        </w:rPr>
        <w:t xml:space="preserve"> </w:t>
      </w:r>
      <w:r w:rsidR="00EC70F4" w:rsidRPr="00EC70F4">
        <w:rPr>
          <w:b w:val="0"/>
          <w:caps/>
          <w:szCs w:val="24"/>
        </w:rPr>
        <w:t>limited for all purposes hereunder to its Central Procurement Entity Function</w:t>
      </w:r>
      <w:r w:rsidR="00EC70F4" w:rsidRPr="00EC70F4">
        <w:rPr>
          <w:bCs/>
          <w:caps/>
          <w:szCs w:val="24"/>
        </w:rPr>
        <w:t xml:space="preserve">  </w:t>
      </w:r>
    </w:p>
    <w:p w14:paraId="67772286" w14:textId="77777777" w:rsidR="00F51FE1" w:rsidRPr="00081AFF" w:rsidRDefault="001C40CF" w:rsidP="009B54E8">
      <w:pPr>
        <w:pStyle w:val="BodyTextLeft"/>
        <w:jc w:val="left"/>
      </w:pPr>
      <w:r w:rsidRPr="00081AFF">
        <w:t>This confirmation letter (“Confirmation”) confirms the Transaction between Party A and Party B, which becomes effecti</w:t>
      </w:r>
      <w:r w:rsidR="00DB3D12">
        <w:t xml:space="preserve">ve </w:t>
      </w:r>
      <w:r w:rsidR="00A64892">
        <w:t>on the date fully</w:t>
      </w:r>
      <w:r w:rsidR="00DB3D12">
        <w:t xml:space="preserve"> executed by both P</w:t>
      </w:r>
      <w:r w:rsidRPr="00081AFF">
        <w:t xml:space="preserve">arties (the “Confirmation Effective Date”), in which Seller agrees to provide to Buyer the right to the Product, as such term is defined in this Confirmation.  This Transaction is governed by the Master Power Purchase and Sale Agreement between the Parties, effective as of </w:t>
      </w:r>
      <w:r w:rsidRPr="003A33BA">
        <w:rPr>
          <w:highlight w:val="yellow"/>
        </w:rPr>
        <w:t>[Date of EEI Master between Parties]</w:t>
      </w:r>
      <w:r w:rsidRPr="00081AFF">
        <w:t xml:space="preserve">, together with the Cover Sheet, </w:t>
      </w:r>
      <w:r w:rsidRPr="003A33BA">
        <w:rPr>
          <w:highlight w:val="yellow"/>
        </w:rPr>
        <w:t>[</w:t>
      </w:r>
      <w:r w:rsidRPr="00081AFF">
        <w:t>the Collateral Annex and Paragraph 10 to the Collateral Annex,</w:t>
      </w:r>
      <w:r w:rsidRPr="003A33BA">
        <w:rPr>
          <w:highlight w:val="yellow"/>
        </w:rPr>
        <w:t>]</w:t>
      </w:r>
      <w:r w:rsidRPr="00081AFF">
        <w:t xml:space="preserve"> and any other annexes thereto (collectively, as amended, restated, supplemented, or otherwise modified from time to time, the “Master Agreement”).  The Master Agreement and this Confirmation are collectively referred to herein as the “Agreement”. Capitalized terms used but not otherwise defined in this Confirmation, have the meanings specified for such terms in the Master Agreement or the Tariff (defined below), as applicable. Section references herein are to this Confirmation unless otherwise noted.</w:t>
      </w:r>
    </w:p>
    <w:p w14:paraId="60746AFC" w14:textId="77777777" w:rsidR="00F51FE1" w:rsidRPr="00081AFF" w:rsidRDefault="001C40CF" w:rsidP="00D5411B">
      <w:pPr>
        <w:pStyle w:val="Heading1"/>
      </w:pPr>
      <w:r>
        <w:br/>
      </w:r>
      <w:r w:rsidRPr="00081AFF">
        <w:t>TRANSACTION TERMS</w:t>
      </w:r>
    </w:p>
    <w:p w14:paraId="6D392C7F" w14:textId="77777777" w:rsidR="00F51FE1" w:rsidRPr="00081AFF" w:rsidRDefault="001C40CF" w:rsidP="009B54E8">
      <w:pPr>
        <w:pStyle w:val="BodyTextLeft"/>
        <w:jc w:val="left"/>
        <w:rPr>
          <w:lang w:val="en-CA"/>
        </w:rPr>
      </w:pPr>
      <w:bookmarkStart w:id="1" w:name="_Ref144206237"/>
      <w:r w:rsidRPr="00081AFF">
        <w:rPr>
          <w:b/>
          <w:u w:val="single"/>
          <w:lang w:val="en-CA"/>
        </w:rPr>
        <w:t>Buyer:</w:t>
      </w:r>
      <w:r w:rsidRPr="00081AFF">
        <w:rPr>
          <w:lang w:val="en-CA"/>
        </w:rPr>
        <w:t xml:space="preserve"> </w:t>
      </w:r>
      <w:r w:rsidR="009B54E8" w:rsidRPr="00796404">
        <w:rPr>
          <w:highlight w:val="yellow"/>
          <w:lang w:val="en-CA"/>
        </w:rPr>
        <w:t xml:space="preserve">Party </w:t>
      </w:r>
    </w:p>
    <w:p w14:paraId="456CF401" w14:textId="77777777" w:rsidR="00F51FE1" w:rsidRPr="00081AFF" w:rsidRDefault="001C40CF" w:rsidP="009B54E8">
      <w:pPr>
        <w:pStyle w:val="BodyTextLeft"/>
        <w:jc w:val="left"/>
        <w:rPr>
          <w:lang w:val="en-CA"/>
        </w:rPr>
      </w:pPr>
      <w:r w:rsidRPr="00081AFF">
        <w:rPr>
          <w:b/>
          <w:u w:val="single"/>
          <w:lang w:val="en-CA"/>
        </w:rPr>
        <w:t>Seller:</w:t>
      </w:r>
      <w:r w:rsidRPr="00081AFF">
        <w:rPr>
          <w:lang w:val="en-CA"/>
        </w:rPr>
        <w:t xml:space="preserve"> </w:t>
      </w:r>
      <w:r w:rsidR="009B54E8" w:rsidRPr="00796404">
        <w:rPr>
          <w:highlight w:val="yellow"/>
          <w:lang w:val="en-CA"/>
        </w:rPr>
        <w:t xml:space="preserve">Party </w:t>
      </w:r>
    </w:p>
    <w:p w14:paraId="7FD9AB8B" w14:textId="48B2B44D" w:rsidR="00F51FE1" w:rsidRPr="00081AFF" w:rsidRDefault="001C40CF" w:rsidP="009B54E8">
      <w:pPr>
        <w:pStyle w:val="BodyTextLeft"/>
        <w:jc w:val="left"/>
        <w:rPr>
          <w:b/>
          <w:u w:val="single"/>
          <w:lang w:val="en-CA"/>
        </w:rPr>
      </w:pPr>
      <w:r w:rsidRPr="00081AFF">
        <w:rPr>
          <w:b/>
          <w:u w:val="single"/>
          <w:lang w:val="en-CA"/>
        </w:rPr>
        <w:t>Product:</w:t>
      </w:r>
      <w:r w:rsidRPr="00081AFF">
        <w:rPr>
          <w:lang w:val="en-CA"/>
        </w:rPr>
        <w:t xml:space="preserve"> </w:t>
      </w:r>
      <w:bookmarkEnd w:id="1"/>
      <w:r w:rsidRPr="00081AFF">
        <w:rPr>
          <w:lang w:val="en-CA"/>
        </w:rPr>
        <w:t>The Product</w:t>
      </w:r>
      <w:r w:rsidR="00BD5C5C">
        <w:rPr>
          <w:lang w:val="en-CA"/>
        </w:rPr>
        <w:t xml:space="preserve"> is</w:t>
      </w:r>
      <w:r w:rsidRPr="00081AFF">
        <w:rPr>
          <w:lang w:val="en-CA"/>
        </w:rPr>
        <w:t xml:space="preserve"> the Capacity Attributes of the Unit(s) as defined in Appendix B</w:t>
      </w:r>
      <w:r w:rsidR="0035588D">
        <w:rPr>
          <w:lang w:val="en-CA"/>
        </w:rPr>
        <w:t xml:space="preserve">. </w:t>
      </w:r>
      <w:r w:rsidRPr="00081AFF">
        <w:rPr>
          <w:lang w:val="en-CA"/>
        </w:rPr>
        <w:t>The Product does not include any right to the energy or ancillary services of the Unit(s)</w:t>
      </w:r>
      <w:r w:rsidR="00D72B03">
        <w:rPr>
          <w:lang w:val="en-CA"/>
        </w:rPr>
        <w:t>.</w:t>
      </w:r>
    </w:p>
    <w:p w14:paraId="5C96E3E3" w14:textId="77777777" w:rsidR="00F51FE1" w:rsidRPr="00081AFF" w:rsidRDefault="001C40CF" w:rsidP="009B54E8">
      <w:pPr>
        <w:pStyle w:val="BodyTextLeft"/>
        <w:jc w:val="left"/>
        <w:rPr>
          <w:b/>
          <w:u w:val="single"/>
          <w:lang w:val="en-CA"/>
        </w:rPr>
      </w:pPr>
      <w:r w:rsidRPr="00081AFF">
        <w:rPr>
          <w:b/>
          <w:u w:val="single"/>
          <w:lang w:val="en-CA"/>
        </w:rPr>
        <w:t>Delivery Period:</w:t>
      </w:r>
      <w:r w:rsidRPr="00081AFF">
        <w:rPr>
          <w:b/>
          <w:lang w:val="en-CA"/>
        </w:rPr>
        <w:t xml:space="preserve"> </w:t>
      </w:r>
      <w:r w:rsidRPr="003A33BA">
        <w:rPr>
          <w:highlight w:val="yellow"/>
          <w:lang w:val="en-CA"/>
        </w:rPr>
        <w:t>[Begin Date]</w:t>
      </w:r>
      <w:r w:rsidRPr="00081AFF">
        <w:rPr>
          <w:lang w:val="en-CA"/>
        </w:rPr>
        <w:t xml:space="preserve"> through </w:t>
      </w:r>
      <w:r w:rsidRPr="003A33BA">
        <w:rPr>
          <w:highlight w:val="yellow"/>
          <w:lang w:val="en-CA"/>
        </w:rPr>
        <w:t>[End Date]</w:t>
      </w:r>
      <w:r w:rsidRPr="00081AFF">
        <w:rPr>
          <w:lang w:val="en-CA"/>
        </w:rPr>
        <w:t xml:space="preserve">, inclusive.  </w:t>
      </w:r>
      <w:bookmarkStart w:id="2" w:name="_Ref144206444"/>
    </w:p>
    <w:p w14:paraId="23B166FD" w14:textId="77777777" w:rsidR="00F51FE1" w:rsidRPr="00081AFF" w:rsidRDefault="001C40CF" w:rsidP="009B54E8">
      <w:pPr>
        <w:pStyle w:val="BodyTextLeft"/>
        <w:jc w:val="left"/>
        <w:rPr>
          <w:b/>
          <w:u w:val="single"/>
          <w:lang w:val="en-CA"/>
        </w:rPr>
      </w:pPr>
      <w:r w:rsidRPr="00081AFF">
        <w:rPr>
          <w:b/>
          <w:u w:val="single"/>
          <w:lang w:val="en-CA"/>
        </w:rPr>
        <w:t>Contract Quantity</w:t>
      </w:r>
      <w:bookmarkEnd w:id="2"/>
      <w:r w:rsidRPr="00081AFF">
        <w:rPr>
          <w:b/>
          <w:u w:val="single"/>
          <w:lang w:val="en-CA"/>
        </w:rPr>
        <w:t xml:space="preserve"> and </w:t>
      </w:r>
      <w:r w:rsidR="00635382">
        <w:rPr>
          <w:b/>
          <w:u w:val="single"/>
          <w:lang w:val="en-CA"/>
        </w:rPr>
        <w:t xml:space="preserve">Contract </w:t>
      </w:r>
      <w:r w:rsidRPr="00081AFF">
        <w:rPr>
          <w:b/>
          <w:u w:val="single"/>
          <w:lang w:val="en-CA"/>
        </w:rPr>
        <w:t>Price:</w:t>
      </w:r>
      <w:r w:rsidRPr="00081AFF">
        <w:rPr>
          <w:lang w:val="en-CA"/>
        </w:rPr>
        <w:t xml:space="preserve"> The Contract Quantity and </w:t>
      </w:r>
      <w:r w:rsidR="00BD5C5C">
        <w:rPr>
          <w:lang w:val="en-CA"/>
        </w:rPr>
        <w:t xml:space="preserve">Contract </w:t>
      </w:r>
      <w:r w:rsidRPr="00081AFF">
        <w:rPr>
          <w:lang w:val="en-CA"/>
        </w:rPr>
        <w:t xml:space="preserve">Price for each day </w:t>
      </w:r>
      <w:r w:rsidR="002C1980">
        <w:rPr>
          <w:lang w:val="en-CA"/>
        </w:rPr>
        <w:t xml:space="preserve">of each </w:t>
      </w:r>
      <w:r w:rsidR="008C6CD3">
        <w:rPr>
          <w:lang w:val="en-CA"/>
        </w:rPr>
        <w:t>S</w:t>
      </w:r>
      <w:r w:rsidR="002C1980">
        <w:rPr>
          <w:lang w:val="en-CA"/>
        </w:rPr>
        <w:t xml:space="preserve">howing </w:t>
      </w:r>
      <w:r w:rsidR="008C6CD3">
        <w:rPr>
          <w:lang w:val="en-CA"/>
        </w:rPr>
        <w:t>M</w:t>
      </w:r>
      <w:r w:rsidR="002C1980">
        <w:rPr>
          <w:lang w:val="en-CA"/>
        </w:rPr>
        <w:t xml:space="preserve">onth </w:t>
      </w:r>
      <w:r w:rsidRPr="00081AFF">
        <w:rPr>
          <w:lang w:val="en-CA"/>
        </w:rPr>
        <w:t xml:space="preserve">during the Delivery Period </w:t>
      </w:r>
      <w:r w:rsidR="002C1980">
        <w:rPr>
          <w:lang w:val="en-CA"/>
        </w:rPr>
        <w:t>shall be set forth</w:t>
      </w:r>
      <w:r w:rsidRPr="00081AFF">
        <w:rPr>
          <w:lang w:val="en-CA"/>
        </w:rPr>
        <w:t xml:space="preserve"> in Appendix B.</w:t>
      </w:r>
      <w:r w:rsidRPr="00081AFF">
        <w:rPr>
          <w:b/>
          <w:u w:val="single"/>
          <w:lang w:val="en-CA"/>
        </w:rPr>
        <w:t xml:space="preserve"> </w:t>
      </w:r>
    </w:p>
    <w:p w14:paraId="67C8C47C" w14:textId="77777777" w:rsidR="00F51FE1" w:rsidRPr="00081AFF" w:rsidRDefault="001C40CF" w:rsidP="00D5411B">
      <w:pPr>
        <w:pStyle w:val="Heading1"/>
      </w:pPr>
      <w:r>
        <w:br/>
      </w:r>
      <w:r w:rsidRPr="00081AFF">
        <w:t xml:space="preserve">delivery obligations AND ADJUSTMENTS </w:t>
      </w:r>
    </w:p>
    <w:p w14:paraId="1C26BB51" w14:textId="77777777" w:rsidR="00F51FE1" w:rsidRPr="00081AFF" w:rsidRDefault="001C40CF" w:rsidP="00072107">
      <w:pPr>
        <w:pStyle w:val="Heading2"/>
        <w:keepNext/>
        <w:jc w:val="left"/>
        <w:rPr>
          <w:lang w:val="en-CA"/>
        </w:rPr>
      </w:pPr>
      <w:r w:rsidRPr="00081AFF">
        <w:rPr>
          <w:lang w:val="en-CA"/>
        </w:rPr>
        <w:t xml:space="preserve">Firm RA Product </w:t>
      </w:r>
    </w:p>
    <w:p w14:paraId="14ECC5FB" w14:textId="77777777" w:rsidR="00F51FE1" w:rsidRPr="00081AFF" w:rsidRDefault="001C40CF" w:rsidP="009B54E8">
      <w:pPr>
        <w:pStyle w:val="HeadingBody2"/>
        <w:jc w:val="left"/>
      </w:pPr>
      <w:r w:rsidRPr="00081AFF">
        <w:t>Seller’s obligation to deliver the Contract Quantity of Product for each day included in the Delivery Period is firm and will not be excused for any reason.</w:t>
      </w:r>
    </w:p>
    <w:p w14:paraId="5A73E076" w14:textId="77777777" w:rsidR="00F51FE1" w:rsidRPr="00081AFF" w:rsidRDefault="001C40CF" w:rsidP="00072107">
      <w:pPr>
        <w:pStyle w:val="Heading2"/>
        <w:keepNext/>
        <w:jc w:val="left"/>
        <w:rPr>
          <w:lang w:val="en-CA"/>
        </w:rPr>
      </w:pPr>
      <w:r w:rsidRPr="00081AFF">
        <w:rPr>
          <w:lang w:val="en-CA"/>
        </w:rPr>
        <w:lastRenderedPageBreak/>
        <w:t>Seller To Identify Shown Unit</w:t>
      </w:r>
    </w:p>
    <w:p w14:paraId="2A76E423" w14:textId="77777777" w:rsidR="00450596" w:rsidRPr="00450596" w:rsidRDefault="001C40CF" w:rsidP="009B54E8">
      <w:pPr>
        <w:pStyle w:val="Heading3"/>
        <w:jc w:val="left"/>
        <w:rPr>
          <w:lang w:val="en-CA"/>
        </w:rPr>
      </w:pPr>
      <w:r w:rsidRPr="00081AFF">
        <w:t>Seller shall identify the Shown Unit(s) that meet the Product characteristics and Contract Quantity specified in Appendix B by providing Buyer with the specific Unit information no later than</w:t>
      </w:r>
      <w:r>
        <w:t>:</w:t>
      </w:r>
      <w:r w:rsidRPr="00081AFF">
        <w:t xml:space="preserve"> </w:t>
      </w:r>
    </w:p>
    <w:p w14:paraId="2E1AE151" w14:textId="77777777" w:rsidR="00450596" w:rsidRPr="00450596" w:rsidRDefault="001C40CF" w:rsidP="009B54E8">
      <w:pPr>
        <w:pStyle w:val="Heading4"/>
        <w:jc w:val="left"/>
        <w:rPr>
          <w:lang w:val="en-CA"/>
        </w:rPr>
      </w:pPr>
      <w:r>
        <w:t>F</w:t>
      </w:r>
      <w:r w:rsidRPr="00081AFF">
        <w:t xml:space="preserve">ifteen </w:t>
      </w:r>
      <w:r w:rsidR="00F51FE1" w:rsidRPr="00081AFF">
        <w:t>(15) calendar days before the relevant deadlines for the corresponding Compliance Showings applicable to the relevant Showing Month</w:t>
      </w:r>
      <w:r>
        <w:t xml:space="preserve">, if the Confirmation </w:t>
      </w:r>
      <w:r w:rsidR="00087D06">
        <w:t xml:space="preserve">Effective </w:t>
      </w:r>
      <w:r>
        <w:t>Date is</w:t>
      </w:r>
      <w:r w:rsidR="00C2446E">
        <w:t xml:space="preserve"> at least</w:t>
      </w:r>
      <w:r>
        <w:t xml:space="preserve"> fifteen (15) calendar days before such Compliance Showing</w:t>
      </w:r>
      <w:r w:rsidR="00CD1229">
        <w:t xml:space="preserve"> deadline</w:t>
      </w:r>
      <w:r>
        <w:t>; or</w:t>
      </w:r>
    </w:p>
    <w:p w14:paraId="5842A8A8" w14:textId="77777777" w:rsidR="00450596" w:rsidRDefault="001C40CF" w:rsidP="009B54E8">
      <w:pPr>
        <w:pStyle w:val="Heading4"/>
        <w:jc w:val="left"/>
        <w:rPr>
          <w:lang w:val="en-CA"/>
        </w:rPr>
      </w:pPr>
      <w:r>
        <w:t xml:space="preserve">One (1) </w:t>
      </w:r>
      <w:r w:rsidR="00C2446E">
        <w:t>business</w:t>
      </w:r>
      <w:r>
        <w:t xml:space="preserve"> day from the Confirmation </w:t>
      </w:r>
      <w:r w:rsidR="00087D06">
        <w:t xml:space="preserve">Effective </w:t>
      </w:r>
      <w:r>
        <w:t xml:space="preserve">Date if the Confirmation </w:t>
      </w:r>
      <w:r w:rsidR="00087D06">
        <w:t xml:space="preserve">Effective </w:t>
      </w:r>
      <w:r>
        <w:t xml:space="preserve">Date is </w:t>
      </w:r>
      <w:r w:rsidR="00BD5C5C">
        <w:t>less than</w:t>
      </w:r>
      <w:r>
        <w:t xml:space="preserve"> fifteen (15) calendar days </w:t>
      </w:r>
      <w:r w:rsidR="00BD5C5C">
        <w:t>from</w:t>
      </w:r>
      <w:r>
        <w:t xml:space="preserve"> the Compliance Showing</w:t>
      </w:r>
      <w:r w:rsidR="00B85835">
        <w:rPr>
          <w:lang w:val="en-CA"/>
        </w:rPr>
        <w:t xml:space="preserve">. Section 2.3 of this Confirmation does not apply </w:t>
      </w:r>
      <w:r w:rsidR="00BD5C5C">
        <w:rPr>
          <w:lang w:val="en-CA"/>
        </w:rPr>
        <w:t>when the</w:t>
      </w:r>
      <w:r w:rsidR="00B85835">
        <w:rPr>
          <w:lang w:val="en-CA"/>
        </w:rPr>
        <w:t xml:space="preserve"> Confirmation Effective Date is within fifteen (15) calendar days of the Compliance Showing. </w:t>
      </w:r>
    </w:p>
    <w:p w14:paraId="104D12C5" w14:textId="77777777" w:rsidR="00BD5C5C" w:rsidRDefault="001C40CF" w:rsidP="009B54E8">
      <w:pPr>
        <w:pStyle w:val="Heading3"/>
        <w:jc w:val="left"/>
        <w:rPr>
          <w:lang w:val="en-CA"/>
        </w:rPr>
      </w:pPr>
      <w:r w:rsidRPr="00081AFF">
        <w:rPr>
          <w:lang w:val="en-CA"/>
        </w:rPr>
        <w:t xml:space="preserve">The Shown Unit should not have characteristics that would trigger the need for Buyer or Seller to file an Advice Letter to the CPUC.  </w:t>
      </w:r>
    </w:p>
    <w:p w14:paraId="77D5CBF5" w14:textId="77777777" w:rsidR="00F51FE1" w:rsidRPr="00081AFF" w:rsidRDefault="001C40CF" w:rsidP="009B54E8">
      <w:pPr>
        <w:pStyle w:val="Heading3"/>
        <w:jc w:val="left"/>
        <w:rPr>
          <w:lang w:val="en-CA"/>
        </w:rPr>
      </w:pPr>
      <w:r w:rsidRPr="00081AFF">
        <w:rPr>
          <w:lang w:val="en-CA"/>
        </w:rPr>
        <w:t xml:space="preserve">Seller’s notice under this Section 2.2 shall be deemed acceptable to and approved by Buyer upon receipt, unless Buyer, within </w:t>
      </w:r>
      <w:r w:rsidR="006D61D6">
        <w:rPr>
          <w:lang w:val="en-CA"/>
        </w:rPr>
        <w:t>three</w:t>
      </w:r>
      <w:r w:rsidR="006A6A5F">
        <w:rPr>
          <w:lang w:val="en-CA"/>
        </w:rPr>
        <w:t xml:space="preserve"> (</w:t>
      </w:r>
      <w:r w:rsidR="00A35373">
        <w:rPr>
          <w:lang w:val="en-CA"/>
        </w:rPr>
        <w:t>3</w:t>
      </w:r>
      <w:r w:rsidR="006A6A5F">
        <w:rPr>
          <w:lang w:val="en-CA"/>
        </w:rPr>
        <w:t>) </w:t>
      </w:r>
      <w:r w:rsidR="006D2996">
        <w:rPr>
          <w:lang w:val="en-CA"/>
        </w:rPr>
        <w:t>B</w:t>
      </w:r>
      <w:r w:rsidR="00436B22">
        <w:rPr>
          <w:lang w:val="en-CA"/>
        </w:rPr>
        <w:t xml:space="preserve">usiness </w:t>
      </w:r>
      <w:r w:rsidR="006D2996">
        <w:rPr>
          <w:lang w:val="en-CA"/>
        </w:rPr>
        <w:t>D</w:t>
      </w:r>
      <w:r w:rsidRPr="00081AFF">
        <w:rPr>
          <w:lang w:val="en-CA"/>
        </w:rPr>
        <w:t>ay</w:t>
      </w:r>
      <w:r w:rsidR="00A35373">
        <w:rPr>
          <w:lang w:val="en-CA"/>
        </w:rPr>
        <w:t>s</w:t>
      </w:r>
      <w:r w:rsidRPr="00081AFF">
        <w:rPr>
          <w:lang w:val="en-CA"/>
        </w:rPr>
        <w:t xml:space="preserve"> of receipt of Seller’s notice and in writing, notifies Seller of any objections Buyer has to the proposed Shown Unit.  If Buyer timely objects, Seller must identify another Shown Unit within five</w:t>
      </w:r>
      <w:r w:rsidR="006A6A5F">
        <w:rPr>
          <w:lang w:val="en-CA"/>
        </w:rPr>
        <w:t xml:space="preserve"> (</w:t>
      </w:r>
      <w:r w:rsidR="006A6A5F" w:rsidRPr="00081AFF">
        <w:rPr>
          <w:lang w:val="en-CA"/>
        </w:rPr>
        <w:t>5</w:t>
      </w:r>
      <w:r w:rsidR="006A6A5F">
        <w:rPr>
          <w:lang w:val="en-CA"/>
        </w:rPr>
        <w:t>) </w:t>
      </w:r>
      <w:r w:rsidR="006A6A5F" w:rsidRPr="00081AFF">
        <w:rPr>
          <w:lang w:val="en-CA"/>
        </w:rPr>
        <w:t>B</w:t>
      </w:r>
      <w:r w:rsidRPr="00081AFF">
        <w:rPr>
          <w:lang w:val="en-CA"/>
        </w:rPr>
        <w:t>usiness Days.</w:t>
      </w:r>
      <w:r w:rsidR="00524B2D">
        <w:rPr>
          <w:lang w:val="en-CA"/>
        </w:rPr>
        <w:t xml:space="preserve"> </w:t>
      </w:r>
      <w:r w:rsidR="007D51F3" w:rsidRPr="00D36040">
        <w:rPr>
          <w:color w:val="auto"/>
          <w:u w:color="3EAFC2"/>
        </w:rPr>
        <w:t>Provided such Shown Unit meets the requirements of this Confirmation, this</w:t>
      </w:r>
      <w:r w:rsidR="007D51F3" w:rsidRPr="00D36040">
        <w:rPr>
          <w:color w:val="auto"/>
          <w:lang w:val="en-CA"/>
        </w:rPr>
        <w:t xml:space="preserve"> </w:t>
      </w:r>
      <w:r w:rsidR="0068563C">
        <w:rPr>
          <w:lang w:val="en-CA"/>
        </w:rPr>
        <w:t xml:space="preserve">second Shown Unit shall be deemed acceptable to and approved by Buyer upon receipt. </w:t>
      </w:r>
      <w:r w:rsidR="00F07220">
        <w:rPr>
          <w:lang w:val="en-CA"/>
        </w:rPr>
        <w:t>This section does not apply</w:t>
      </w:r>
      <w:r w:rsidR="00342855">
        <w:rPr>
          <w:lang w:val="en-CA"/>
        </w:rPr>
        <w:t xml:space="preserve"> if the </w:t>
      </w:r>
      <w:r w:rsidR="00C26F6C">
        <w:rPr>
          <w:lang w:val="en-CA"/>
        </w:rPr>
        <w:t xml:space="preserve">Confirmation Effective Date is within fifteen (15) calendar days of the </w:t>
      </w:r>
      <w:r w:rsidR="00342855">
        <w:rPr>
          <w:lang w:val="en-CA"/>
        </w:rPr>
        <w:t xml:space="preserve">relevant </w:t>
      </w:r>
      <w:r w:rsidR="00C26F6C">
        <w:rPr>
          <w:lang w:val="en-CA"/>
        </w:rPr>
        <w:t>Compliance Showing</w:t>
      </w:r>
      <w:r w:rsidR="00342855">
        <w:rPr>
          <w:lang w:val="en-CA"/>
        </w:rPr>
        <w:t xml:space="preserve"> deadline</w:t>
      </w:r>
      <w:r w:rsidR="00C26F6C">
        <w:rPr>
          <w:lang w:val="en-CA"/>
        </w:rPr>
        <w:t>.</w:t>
      </w:r>
    </w:p>
    <w:p w14:paraId="5FFE5F47" w14:textId="77777777" w:rsidR="00F51FE1" w:rsidRPr="00081AFF" w:rsidRDefault="001C40CF" w:rsidP="009B54E8">
      <w:pPr>
        <w:pStyle w:val="Heading3"/>
        <w:jc w:val="left"/>
        <w:rPr>
          <w:lang w:val="en-CA"/>
        </w:rPr>
      </w:pPr>
      <w:r w:rsidRPr="00081AFF">
        <w:rPr>
          <w:lang w:val="en-CA"/>
        </w:rPr>
        <w:t>Once the Shown Unit designated by Seller is approved or deemed approved in accordance with Section 2.2</w:t>
      </w:r>
      <w:r w:rsidR="00BD5C5C">
        <w:rPr>
          <w:lang w:val="en-CA"/>
        </w:rPr>
        <w:t>(c)</w:t>
      </w:r>
      <w:r w:rsidRPr="00081AFF">
        <w:rPr>
          <w:lang w:val="en-CA"/>
        </w:rPr>
        <w:t xml:space="preserve">, then any such Shown Unit will be automatically deemed </w:t>
      </w:r>
      <w:r w:rsidR="00BD5C5C">
        <w:rPr>
          <w:lang w:val="en-CA"/>
        </w:rPr>
        <w:t>the</w:t>
      </w:r>
      <w:r w:rsidRPr="00081AFF">
        <w:rPr>
          <w:lang w:val="en-CA"/>
        </w:rPr>
        <w:t xml:space="preserve"> Unit </w:t>
      </w:r>
      <w:r w:rsidR="00BD5C5C">
        <w:rPr>
          <w:lang w:val="en-CA"/>
        </w:rPr>
        <w:t xml:space="preserve">from which the Product is delivered </w:t>
      </w:r>
      <w:r w:rsidRPr="00081AFF">
        <w:rPr>
          <w:lang w:val="en-CA"/>
        </w:rPr>
        <w:t>for purposes of this Confirmation for the affected Showing Month.</w:t>
      </w:r>
    </w:p>
    <w:p w14:paraId="3C9A0893" w14:textId="021E3CFB" w:rsidR="00F51FE1" w:rsidRPr="00081AFF" w:rsidRDefault="001C40CF" w:rsidP="0026620B">
      <w:pPr>
        <w:pStyle w:val="Heading2"/>
        <w:keepNext/>
        <w:jc w:val="left"/>
        <w:rPr>
          <w:lang w:val="en-CA"/>
        </w:rPr>
      </w:pPr>
      <w:r w:rsidRPr="00081AFF">
        <w:rPr>
          <w:lang w:val="en-CA"/>
        </w:rPr>
        <w:t>Seller To Provide Alternate Capacity</w:t>
      </w:r>
    </w:p>
    <w:p w14:paraId="7C47CAD0" w14:textId="3E3943F8" w:rsidR="00F51FE1" w:rsidRPr="00081AFF" w:rsidRDefault="001C40CF" w:rsidP="00CB07A0">
      <w:pPr>
        <w:pStyle w:val="Heading3"/>
        <w:jc w:val="left"/>
        <w:rPr>
          <w:lang w:val="en-CA"/>
        </w:rPr>
      </w:pPr>
      <w:r w:rsidRPr="00081AFF">
        <w:rPr>
          <w:lang w:val="en-CA"/>
        </w:rPr>
        <w:t>If Seller desires to provide the Contract Quantity for any Showing Month during the Delivery Period from a different Unit other than the Shown Unit as designated in Section 2.2, then Seller may, at no additional cost to Buyer</w:t>
      </w:r>
      <w:r w:rsidR="00C94F3C">
        <w:rPr>
          <w:lang w:val="en-CA"/>
        </w:rPr>
        <w:t>,</w:t>
      </w:r>
      <w:r w:rsidRPr="00081AFF">
        <w:rPr>
          <w:lang w:val="en-CA"/>
        </w:rPr>
        <w:t xml:space="preserve"> provide Buyer with Product from one</w:t>
      </w:r>
      <w:r w:rsidR="006A6A5F">
        <w:rPr>
          <w:lang w:val="en-CA"/>
        </w:rPr>
        <w:t xml:space="preserve"> (</w:t>
      </w:r>
      <w:r w:rsidR="006A6A5F" w:rsidRPr="00081AFF">
        <w:rPr>
          <w:lang w:val="en-CA"/>
        </w:rPr>
        <w:t>1</w:t>
      </w:r>
      <w:r w:rsidR="006A6A5F">
        <w:rPr>
          <w:lang w:val="en-CA"/>
        </w:rPr>
        <w:t>) </w:t>
      </w:r>
      <w:r w:rsidR="006A6A5F" w:rsidRPr="00081AFF">
        <w:rPr>
          <w:lang w:val="en-CA"/>
        </w:rPr>
        <w:t>o</w:t>
      </w:r>
      <w:r w:rsidRPr="00081AFF">
        <w:rPr>
          <w:lang w:val="en-CA"/>
        </w:rPr>
        <w:t xml:space="preserve">r more Alternate Units in an amount such that the total amount of Product provided to Buyer from the Unit and Alternate Units for the Showing Month during the Delivery Period is </w:t>
      </w:r>
      <w:r w:rsidR="00FB6FBD">
        <w:rPr>
          <w:lang w:val="en-CA"/>
        </w:rPr>
        <w:t>equal to</w:t>
      </w:r>
      <w:r w:rsidRPr="00081AFF">
        <w:rPr>
          <w:lang w:val="en-CA"/>
        </w:rPr>
        <w:t xml:space="preserve"> the Contract Quantity for the Delivery Period. </w:t>
      </w:r>
    </w:p>
    <w:p w14:paraId="693C7E7A" w14:textId="7F353FF0" w:rsidR="00F51FE1" w:rsidRPr="00081AFF" w:rsidRDefault="001C40CF" w:rsidP="00CB07A0">
      <w:pPr>
        <w:pStyle w:val="Heading3"/>
        <w:jc w:val="left"/>
        <w:rPr>
          <w:lang w:val="en-CA"/>
        </w:rPr>
      </w:pPr>
      <w:r w:rsidRPr="00081AFF">
        <w:rPr>
          <w:lang w:val="en-CA"/>
        </w:rPr>
        <w:t xml:space="preserve">If Seller desires to provide Product from an Alternate Unit under Section 2.3(a), Seller must notify Buyer of its intent to provide Product from an Alternate Unit and identify the proposed Alternate Unit meeting the Product characteristics </w:t>
      </w:r>
      <w:r w:rsidRPr="00081AFF">
        <w:rPr>
          <w:lang w:val="en-CA"/>
        </w:rPr>
        <w:lastRenderedPageBreak/>
        <w:t xml:space="preserve">specified in Appendix B no later than </w:t>
      </w:r>
      <w:r w:rsidR="00436B22">
        <w:rPr>
          <w:lang w:val="en-CA"/>
        </w:rPr>
        <w:t>five (5)</w:t>
      </w:r>
      <w:r w:rsidRPr="00081AFF">
        <w:rPr>
          <w:lang w:val="en-CA"/>
        </w:rPr>
        <w:t xml:space="preserve"> calendar days before the relevant deadlines for the submission of Compliance Showings related to the applicable Showing Month. Seller’s notice under this Section 2.3(b) shall be deemed acceptable to and approved by Buyer upon receipt, unless Buyer, within one</w:t>
      </w:r>
      <w:r w:rsidR="006A6A5F">
        <w:rPr>
          <w:lang w:val="en-CA"/>
        </w:rPr>
        <w:t xml:space="preserve"> (</w:t>
      </w:r>
      <w:r w:rsidR="006A6A5F" w:rsidRPr="00081AFF">
        <w:rPr>
          <w:lang w:val="en-CA"/>
        </w:rPr>
        <w:t>1</w:t>
      </w:r>
      <w:r w:rsidR="006A6A5F">
        <w:rPr>
          <w:lang w:val="en-CA"/>
        </w:rPr>
        <w:t>) </w:t>
      </w:r>
      <w:r w:rsidR="006A6A5F" w:rsidRPr="00081AFF">
        <w:rPr>
          <w:lang w:val="en-CA"/>
        </w:rPr>
        <w:t>B</w:t>
      </w:r>
      <w:r w:rsidRPr="00081AFF">
        <w:rPr>
          <w:lang w:val="en-CA"/>
        </w:rPr>
        <w:t xml:space="preserve">usiness Day of receipt of Seller’s notice and in writing, notifies Seller of any objections Buyer has to the proposed Alternate Unit.  If Buyer timely objects, Seller must identify another Alternate Unit within </w:t>
      </w:r>
      <w:r w:rsidR="00436B22">
        <w:rPr>
          <w:lang w:val="en-CA"/>
        </w:rPr>
        <w:t>two (2)</w:t>
      </w:r>
      <w:r w:rsidR="006A6A5F">
        <w:rPr>
          <w:lang w:val="en-CA"/>
        </w:rPr>
        <w:t> </w:t>
      </w:r>
      <w:r w:rsidR="006A6A5F" w:rsidRPr="00081AFF">
        <w:rPr>
          <w:lang w:val="en-CA"/>
        </w:rPr>
        <w:t>B</w:t>
      </w:r>
      <w:r w:rsidRPr="00081AFF">
        <w:rPr>
          <w:lang w:val="en-CA"/>
        </w:rPr>
        <w:t>usiness Days.</w:t>
      </w:r>
      <w:r w:rsidR="0068563C">
        <w:rPr>
          <w:lang w:val="en-CA"/>
        </w:rPr>
        <w:t xml:space="preserve"> </w:t>
      </w:r>
      <w:r w:rsidR="002D6C9E" w:rsidRPr="00CB07A0">
        <w:rPr>
          <w:lang w:val="en-CA"/>
        </w:rPr>
        <w:t xml:space="preserve">Provided such Alternate Unit meets the requirements of a Shown Unit under this Confirmation, this </w:t>
      </w:r>
      <w:r w:rsidR="0068563C">
        <w:rPr>
          <w:lang w:val="en-CA"/>
        </w:rPr>
        <w:t>second Alternate Unit is deemed acceptable to and approved by Buyer upon receipt.</w:t>
      </w:r>
    </w:p>
    <w:p w14:paraId="50CD0455" w14:textId="02F74684" w:rsidR="00F51FE1" w:rsidRPr="00081AFF" w:rsidRDefault="001C40CF" w:rsidP="00CB07A0">
      <w:pPr>
        <w:pStyle w:val="Heading3"/>
        <w:jc w:val="left"/>
        <w:rPr>
          <w:lang w:val="en-CA"/>
        </w:rPr>
      </w:pPr>
      <w:r w:rsidRPr="00081AFF">
        <w:rPr>
          <w:lang w:val="en-CA"/>
        </w:rPr>
        <w:t xml:space="preserve">Once the </w:t>
      </w:r>
      <w:r w:rsidR="0068563C">
        <w:rPr>
          <w:lang w:val="en-CA"/>
        </w:rPr>
        <w:t xml:space="preserve">Alternate Unit is approved or deemed approved in accordance with Section </w:t>
      </w:r>
      <w:r w:rsidRPr="00081AFF">
        <w:rPr>
          <w:lang w:val="en-CA"/>
        </w:rPr>
        <w:t xml:space="preserve">2.3(b), then any such Alternate Unit will be automatically deemed </w:t>
      </w:r>
      <w:r w:rsidR="00BD5C5C">
        <w:rPr>
          <w:lang w:val="en-CA"/>
        </w:rPr>
        <w:t>the</w:t>
      </w:r>
      <w:r w:rsidRPr="00081AFF">
        <w:rPr>
          <w:lang w:val="en-CA"/>
        </w:rPr>
        <w:t xml:space="preserve"> Unit</w:t>
      </w:r>
      <w:r w:rsidR="00BD5C5C">
        <w:rPr>
          <w:lang w:val="en-CA"/>
        </w:rPr>
        <w:t xml:space="preserve"> from which Product is delivered</w:t>
      </w:r>
      <w:r w:rsidRPr="00081AFF">
        <w:rPr>
          <w:lang w:val="en-CA"/>
        </w:rPr>
        <w:t xml:space="preserve"> for purposes of this Confirmation for the affected Showing Month.  </w:t>
      </w:r>
    </w:p>
    <w:p w14:paraId="642C0DF0" w14:textId="77777777" w:rsidR="00F51FE1" w:rsidRPr="00081AFF" w:rsidRDefault="001C40CF" w:rsidP="00072107">
      <w:pPr>
        <w:pStyle w:val="Heading2"/>
        <w:keepNext/>
        <w:jc w:val="left"/>
        <w:rPr>
          <w:lang w:val="en-CA"/>
        </w:rPr>
      </w:pPr>
      <w:r w:rsidRPr="00081AFF">
        <w:rPr>
          <w:lang w:val="en-CA"/>
        </w:rPr>
        <w:t>Delivery of Product</w:t>
      </w:r>
    </w:p>
    <w:p w14:paraId="091FA0F5" w14:textId="77777777" w:rsidR="00DD23B0" w:rsidRPr="00A66240" w:rsidRDefault="001C40CF" w:rsidP="00072107">
      <w:pPr>
        <w:pStyle w:val="Heading3"/>
      </w:pPr>
      <w:r w:rsidRPr="00A66240">
        <w:t>Seller shall provide Buyer with the Contract Quantity of Product for each day during the Delivery Period consistent with the following:</w:t>
      </w:r>
    </w:p>
    <w:p w14:paraId="1D6E98A5" w14:textId="77777777" w:rsidR="00DD23B0" w:rsidRPr="00770FE8" w:rsidRDefault="001C40CF" w:rsidP="00072107">
      <w:pPr>
        <w:pStyle w:val="Heading4"/>
      </w:pPr>
      <w:r w:rsidRPr="00770FE8">
        <w:t>Seller shall, on a timely basis with respect to each applicable Showing Month, submit, or cause the Unit’s S</w:t>
      </w:r>
      <w:r w:rsidR="00BD5C5C">
        <w:t>cheduling Coordinator</w:t>
      </w:r>
      <w:r w:rsidRPr="00770FE8">
        <w:t xml:space="preserve"> to submit, Supply Plans in accordance with the Tariff to identify and confirm the Product provided to Buyer for each day of such Showing Month that is included in the Delivery Period so that the total amount of Product identified and confirmed for each such day of such Showing Month equals the Contract Quantity for such day of such Showing Month. </w:t>
      </w:r>
    </w:p>
    <w:p w14:paraId="36E2A9EA" w14:textId="77777777" w:rsidR="00DD23B0" w:rsidRPr="00770FE8" w:rsidRDefault="001C40CF" w:rsidP="00072107">
      <w:pPr>
        <w:pStyle w:val="Heading4"/>
      </w:pPr>
      <w:r w:rsidRPr="00770FE8">
        <w:t xml:space="preserve">Seller will be deemed to have delivered the Product on each day to the extent that Buyer receives credit from CAISO for such day for Product identified and confirmed in the Supply Plan submitted for the Unit. </w:t>
      </w:r>
    </w:p>
    <w:p w14:paraId="1C3E3E54" w14:textId="77777777" w:rsidR="00DD23B0" w:rsidRPr="00770FE8" w:rsidRDefault="001C40CF" w:rsidP="00072107">
      <w:pPr>
        <w:pStyle w:val="Heading3"/>
      </w:pPr>
      <w:r w:rsidRPr="00770FE8">
        <w:t xml:space="preserve">In accordance with Sections 2.2 and 2.3 and subject </w:t>
      </w:r>
      <w:r>
        <w:t>to Article 7</w:t>
      </w:r>
      <w:r w:rsidRPr="00770FE8">
        <w:t>, Seller shall to the extent required by CAISO or the CPUC rules cause the information listed in Appe</w:t>
      </w:r>
      <w:r w:rsidR="00F07220">
        <w:t>ndix B</w:t>
      </w:r>
      <w:r w:rsidRPr="00770FE8">
        <w:t xml:space="preserve"> to be included in all applicable Supply Plans and shall cause all Supply Plans to be filed in conformance with the requirements of the CPUC Filing Guide and the Tariff.  In addition, if during the Delivery Period, there are changes to the in</w:t>
      </w:r>
      <w:r w:rsidR="00F07220">
        <w:t>formation included in Appendix B</w:t>
      </w:r>
      <w:r w:rsidRPr="00770FE8">
        <w:t>, the Parties agree to communicate such changes to each other promptly.</w:t>
      </w:r>
    </w:p>
    <w:p w14:paraId="1AE9DADC" w14:textId="77777777" w:rsidR="00F51FE1" w:rsidRPr="00081AFF" w:rsidRDefault="001C40CF" w:rsidP="00072107">
      <w:pPr>
        <w:pStyle w:val="Heading2"/>
        <w:keepNext/>
        <w:jc w:val="left"/>
        <w:rPr>
          <w:lang w:val="en-CA"/>
        </w:rPr>
      </w:pPr>
      <w:r w:rsidRPr="00081AFF">
        <w:rPr>
          <w:lang w:val="en-CA"/>
        </w:rPr>
        <w:t>Damages for Failure to Provide Capacity</w:t>
      </w:r>
    </w:p>
    <w:p w14:paraId="187DE232" w14:textId="77777777" w:rsidR="00F51FE1" w:rsidRPr="00D36040" w:rsidRDefault="001C40CF" w:rsidP="00E60878">
      <w:pPr>
        <w:pStyle w:val="HeadingBody2"/>
        <w:jc w:val="left"/>
        <w:rPr>
          <w:lang w:val="en-CA"/>
        </w:rPr>
      </w:pPr>
      <w:r w:rsidRPr="00081AFF">
        <w:rPr>
          <w:lang w:val="en-CA"/>
        </w:rPr>
        <w:t xml:space="preserve">If Seller fails to deliver to Buyer the Contract Quantity of Product for any day during the Delivery Period in accordance with Section 2.4 then with respect to each Showing Month, Seller </w:t>
      </w:r>
      <w:r w:rsidR="00706094">
        <w:rPr>
          <w:lang w:val="en-CA"/>
        </w:rPr>
        <w:t xml:space="preserve">is liable for </w:t>
      </w:r>
      <w:r w:rsidRPr="00081AFF">
        <w:rPr>
          <w:lang w:val="en-CA"/>
        </w:rPr>
        <w:t xml:space="preserve">damages </w:t>
      </w:r>
      <w:r w:rsidR="006F42DC">
        <w:rPr>
          <w:lang w:val="en-CA"/>
        </w:rPr>
        <w:t>pursuant to</w:t>
      </w:r>
      <w:r w:rsidRPr="00081AFF">
        <w:rPr>
          <w:lang w:val="en-CA"/>
        </w:rPr>
        <w:t xml:space="preserve"> Section 4.1 of the Master Agreement</w:t>
      </w:r>
      <w:r w:rsidR="00706094">
        <w:rPr>
          <w:lang w:val="en-CA"/>
        </w:rPr>
        <w:t>,</w:t>
      </w:r>
      <w:r w:rsidR="00706094" w:rsidRPr="00706094">
        <w:rPr>
          <w:color w:val="3EAFC2"/>
          <w:u w:val="single" w:color="3EAFC2"/>
        </w:rPr>
        <w:t xml:space="preserve"> </w:t>
      </w:r>
      <w:r w:rsidR="00706094" w:rsidRPr="00D36040">
        <w:rPr>
          <w:u w:color="3EAFC2"/>
        </w:rPr>
        <w:t>and</w:t>
      </w:r>
      <w:r w:rsidR="00706094" w:rsidRPr="00D36040">
        <w:rPr>
          <w:spacing w:val="-6"/>
          <w:u w:color="3EAFC2"/>
        </w:rPr>
        <w:t xml:space="preserve"> </w:t>
      </w:r>
      <w:r w:rsidR="00EB6768" w:rsidRPr="00D36040">
        <w:rPr>
          <w:u w:color="3EAFC2"/>
        </w:rPr>
        <w:lastRenderedPageBreak/>
        <w:t>provided that</w:t>
      </w:r>
      <w:r w:rsidR="00706094" w:rsidRPr="00D36040">
        <w:rPr>
          <w:spacing w:val="-6"/>
          <w:u w:color="3EAFC2"/>
        </w:rPr>
        <w:t xml:space="preserve"> </w:t>
      </w:r>
      <w:r w:rsidR="00706094" w:rsidRPr="00D36040">
        <w:rPr>
          <w:u w:color="3EAFC2"/>
        </w:rPr>
        <w:t>Buyer</w:t>
      </w:r>
      <w:r w:rsidR="00706094" w:rsidRPr="00D36040">
        <w:rPr>
          <w:spacing w:val="-6"/>
          <w:u w:color="3EAFC2"/>
        </w:rPr>
        <w:t xml:space="preserve"> </w:t>
      </w:r>
      <w:r w:rsidR="00706094" w:rsidRPr="00D36040">
        <w:rPr>
          <w:u w:color="3EAFC2"/>
        </w:rPr>
        <w:t>has</w:t>
      </w:r>
      <w:r w:rsidR="00706094" w:rsidRPr="00D36040">
        <w:rPr>
          <w:spacing w:val="-6"/>
          <w:u w:color="3EAFC2"/>
        </w:rPr>
        <w:t xml:space="preserve"> </w:t>
      </w:r>
      <w:r w:rsidR="00706094" w:rsidRPr="00D36040">
        <w:rPr>
          <w:u w:color="3EAFC2"/>
        </w:rPr>
        <w:t>prepaid</w:t>
      </w:r>
      <w:r w:rsidR="00706094" w:rsidRPr="00D36040">
        <w:rPr>
          <w:spacing w:val="-6"/>
          <w:u w:color="3EAFC2"/>
        </w:rPr>
        <w:t xml:space="preserve"> </w:t>
      </w:r>
      <w:r w:rsidR="00706094" w:rsidRPr="00D36040">
        <w:rPr>
          <w:u w:color="3EAFC2"/>
        </w:rPr>
        <w:t>for</w:t>
      </w:r>
      <w:r w:rsidR="00706094" w:rsidRPr="00D36040">
        <w:rPr>
          <w:spacing w:val="-6"/>
          <w:u w:color="3EAFC2"/>
        </w:rPr>
        <w:t xml:space="preserve"> </w:t>
      </w:r>
      <w:r w:rsidR="00706094" w:rsidRPr="00D36040">
        <w:rPr>
          <w:u w:color="3EAFC2"/>
        </w:rPr>
        <w:t>the</w:t>
      </w:r>
      <w:r w:rsidR="00706094" w:rsidRPr="00D36040">
        <w:rPr>
          <w:spacing w:val="-6"/>
          <w:u w:color="3EAFC2"/>
        </w:rPr>
        <w:t xml:space="preserve"> </w:t>
      </w:r>
      <w:r w:rsidR="00706094" w:rsidRPr="00D36040">
        <w:rPr>
          <w:u w:color="3EAFC2"/>
        </w:rPr>
        <w:t>Contract</w:t>
      </w:r>
      <w:r w:rsidR="00706094" w:rsidRPr="00D36040">
        <w:rPr>
          <w:spacing w:val="-6"/>
          <w:u w:color="3EAFC2"/>
        </w:rPr>
        <w:t xml:space="preserve"> </w:t>
      </w:r>
      <w:r w:rsidR="00706094" w:rsidRPr="00D36040">
        <w:rPr>
          <w:u w:color="3EAFC2"/>
        </w:rPr>
        <w:t>of</w:t>
      </w:r>
      <w:r w:rsidR="00706094" w:rsidRPr="00D36040">
        <w:rPr>
          <w:spacing w:val="-6"/>
          <w:u w:color="3EAFC2"/>
        </w:rPr>
        <w:t xml:space="preserve"> </w:t>
      </w:r>
      <w:r w:rsidR="00706094" w:rsidRPr="00D36040">
        <w:rPr>
          <w:u w:color="3EAFC2"/>
        </w:rPr>
        <w:t>Quantity</w:t>
      </w:r>
      <w:r w:rsidR="00706094" w:rsidRPr="00D36040">
        <w:rPr>
          <w:spacing w:val="-6"/>
          <w:u w:color="3EAFC2"/>
        </w:rPr>
        <w:t xml:space="preserve"> </w:t>
      </w:r>
      <w:r w:rsidR="00706094" w:rsidRPr="00D36040">
        <w:rPr>
          <w:u w:color="3EAFC2"/>
        </w:rPr>
        <w:t>in</w:t>
      </w:r>
      <w:r w:rsidR="00706094" w:rsidRPr="00D36040">
        <w:rPr>
          <w:spacing w:val="-6"/>
          <w:u w:color="3EAFC2"/>
        </w:rPr>
        <w:t xml:space="preserve"> </w:t>
      </w:r>
      <w:r w:rsidR="00706094" w:rsidRPr="00D36040">
        <w:rPr>
          <w:u w:color="3EAFC2"/>
        </w:rPr>
        <w:t>accordance</w:t>
      </w:r>
      <w:r w:rsidR="00706094" w:rsidRPr="00D36040">
        <w:t xml:space="preserve"> </w:t>
      </w:r>
      <w:r w:rsidR="00706094" w:rsidRPr="00D36040">
        <w:rPr>
          <w:u w:color="3EAFC2"/>
        </w:rPr>
        <w:t>with Section 3.1, S</w:t>
      </w:r>
      <w:r w:rsidR="00B51DF2" w:rsidRPr="00D36040">
        <w:rPr>
          <w:u w:color="3EAFC2"/>
        </w:rPr>
        <w:t>eller sh</w:t>
      </w:r>
      <w:r w:rsidR="00706094" w:rsidRPr="00D36040">
        <w:rPr>
          <w:u w:color="3EAFC2"/>
        </w:rPr>
        <w:t>all pay to Buyer the following</w:t>
      </w:r>
      <w:r w:rsidRPr="00D36040">
        <w:rPr>
          <w:lang w:val="en-CA"/>
        </w:rPr>
        <w:t>:</w:t>
      </w:r>
      <w:r w:rsidR="00A64892" w:rsidRPr="00D36040">
        <w:rPr>
          <w:lang w:val="en-CA"/>
        </w:rPr>
        <w:t xml:space="preserve"> </w:t>
      </w:r>
    </w:p>
    <w:p w14:paraId="305B5B73" w14:textId="77777777" w:rsidR="00F51FE1" w:rsidRPr="00081AFF" w:rsidRDefault="001C40CF" w:rsidP="00072107">
      <w:pPr>
        <w:pStyle w:val="HeadingBody2"/>
        <w:ind w:left="1440"/>
        <w:rPr>
          <w:lang w:val="en-CA"/>
        </w:rPr>
      </w:pPr>
      <w:r>
        <w:rPr>
          <w:lang w:val="en-CA"/>
        </w:rPr>
        <w:t>F</w:t>
      </w:r>
      <w:r w:rsidRPr="00081AFF">
        <w:rPr>
          <w:lang w:val="en-CA"/>
        </w:rPr>
        <w:t>or each applicable day during the Showing Month included in the Delivery Period in which the Buyer</w:t>
      </w:r>
      <w:r w:rsidR="00A64892">
        <w:rPr>
          <w:lang w:val="en-CA"/>
        </w:rPr>
        <w:t>’s Monthly Payment has been received by</w:t>
      </w:r>
      <w:r w:rsidRPr="00081AFF">
        <w:rPr>
          <w:lang w:val="en-CA"/>
        </w:rPr>
        <w:t xml:space="preserve"> Seller in accordance with Section 3.1 of this Confirmation only, the amount equal to </w:t>
      </w:r>
      <w:r w:rsidR="006A6A5F">
        <w:rPr>
          <w:lang w:val="en-CA"/>
        </w:rPr>
        <w:t xml:space="preserve"> (</w:t>
      </w:r>
      <w:r w:rsidR="006A6A5F" w:rsidRPr="00081AFF">
        <w:rPr>
          <w:lang w:val="en-CA"/>
        </w:rPr>
        <w:t>w</w:t>
      </w:r>
      <w:r w:rsidR="006A6A5F">
        <w:rPr>
          <w:lang w:val="en-CA"/>
        </w:rPr>
        <w:t>) </w:t>
      </w:r>
      <w:r w:rsidR="006A6A5F" w:rsidRPr="00081AFF">
        <w:rPr>
          <w:lang w:val="en-CA"/>
        </w:rPr>
        <w:t>t</w:t>
      </w:r>
      <w:r w:rsidRPr="00081AFF">
        <w:rPr>
          <w:lang w:val="en-CA"/>
        </w:rPr>
        <w:t>he applicable Contract Price divided by</w:t>
      </w:r>
      <w:r w:rsidR="006A6A5F">
        <w:rPr>
          <w:lang w:val="en-CA"/>
        </w:rPr>
        <w:t xml:space="preserve"> (</w:t>
      </w:r>
      <w:r w:rsidR="006A6A5F" w:rsidRPr="00081AFF">
        <w:rPr>
          <w:lang w:val="en-CA"/>
        </w:rPr>
        <w:t>x</w:t>
      </w:r>
      <w:r w:rsidR="006A6A5F">
        <w:rPr>
          <w:lang w:val="en-CA"/>
        </w:rPr>
        <w:t>) </w:t>
      </w:r>
      <w:r w:rsidR="006A6A5F" w:rsidRPr="00081AFF">
        <w:rPr>
          <w:lang w:val="en-CA"/>
        </w:rPr>
        <w:t>t</w:t>
      </w:r>
      <w:r w:rsidRPr="00081AFF">
        <w:rPr>
          <w:lang w:val="en-CA"/>
        </w:rPr>
        <w:t>he number of days included in the Showing Month multiplied by</w:t>
      </w:r>
      <w:r w:rsidR="006A6A5F">
        <w:rPr>
          <w:lang w:val="en-CA"/>
        </w:rPr>
        <w:t xml:space="preserve"> (</w:t>
      </w:r>
      <w:r w:rsidR="006A6A5F" w:rsidRPr="00081AFF">
        <w:rPr>
          <w:lang w:val="en-CA"/>
        </w:rPr>
        <w:t>y</w:t>
      </w:r>
      <w:r w:rsidR="006A6A5F">
        <w:rPr>
          <w:lang w:val="en-CA"/>
        </w:rPr>
        <w:t>) </w:t>
      </w:r>
      <w:r w:rsidR="006A6A5F" w:rsidRPr="00081AFF">
        <w:rPr>
          <w:lang w:val="en-CA"/>
        </w:rPr>
        <w:t>t</w:t>
      </w:r>
      <w:r w:rsidRPr="00081AFF">
        <w:rPr>
          <w:lang w:val="en-CA"/>
        </w:rPr>
        <w:t>he amount of Contract Quantity not delivered by Seller on such day, multiplied by (z) 1,000 kW</w:t>
      </w:r>
      <w:r w:rsidR="009D73CA">
        <w:rPr>
          <w:lang w:val="en-CA"/>
        </w:rPr>
        <w:t xml:space="preserve"> per</w:t>
      </w:r>
      <w:r w:rsidR="00E60878">
        <w:rPr>
          <w:lang w:val="en-CA"/>
        </w:rPr>
        <w:t xml:space="preserve"> </w:t>
      </w:r>
      <w:r w:rsidRPr="00081AFF">
        <w:rPr>
          <w:lang w:val="en-CA"/>
        </w:rPr>
        <w:t xml:space="preserve">MW.  </w:t>
      </w:r>
    </w:p>
    <w:p w14:paraId="3BD028F6" w14:textId="77777777" w:rsidR="00F51FE1" w:rsidRPr="00081AFF" w:rsidRDefault="001C40CF" w:rsidP="00072107">
      <w:pPr>
        <w:pStyle w:val="Heading2"/>
        <w:keepNext/>
        <w:jc w:val="left"/>
        <w:rPr>
          <w:lang w:val="en-CA"/>
        </w:rPr>
      </w:pPr>
      <w:r w:rsidRPr="00081AFF">
        <w:rPr>
          <w:lang w:val="en-CA"/>
        </w:rPr>
        <w:t xml:space="preserve">Indemnities for Failure to Deliver Contract Quantity </w:t>
      </w:r>
    </w:p>
    <w:p w14:paraId="3BC04B92" w14:textId="77777777" w:rsidR="00F51FE1" w:rsidRPr="00081AFF" w:rsidRDefault="001C40CF" w:rsidP="00E60878">
      <w:pPr>
        <w:pStyle w:val="Heading3"/>
        <w:jc w:val="left"/>
        <w:rPr>
          <w:lang w:val="en-CA"/>
        </w:rPr>
      </w:pPr>
      <w:r w:rsidRPr="00081AFF">
        <w:rPr>
          <w:lang w:val="en-CA"/>
        </w:rPr>
        <w:t xml:space="preserve">Seller agrees to indemnify, defend and hold harmless Buyer from any penalties, fines or costs assessed against Buyer by the CPUC or CAISO resulting from any of the following: </w:t>
      </w:r>
    </w:p>
    <w:p w14:paraId="5B1FF096" w14:textId="77777777" w:rsidR="00F51FE1" w:rsidRPr="00081AFF" w:rsidRDefault="001C40CF" w:rsidP="00E60878">
      <w:pPr>
        <w:pStyle w:val="Heading4"/>
        <w:jc w:val="left"/>
        <w:rPr>
          <w:lang w:val="en-CA"/>
        </w:rPr>
      </w:pPr>
      <w:r w:rsidRPr="00081AFF">
        <w:rPr>
          <w:lang w:val="en-CA"/>
        </w:rPr>
        <w:t>Seller’s failure to deliver any portion of the Contract Quantity of Product for any portion of the Delivery Period and such failure results in the imposition of penalties, fines or costs assessed aga</w:t>
      </w:r>
      <w:r w:rsidR="000114FE">
        <w:rPr>
          <w:lang w:val="en-CA"/>
        </w:rPr>
        <w:t>inst Buyer</w:t>
      </w:r>
      <w:r w:rsidR="004055FE">
        <w:rPr>
          <w:lang w:val="en-CA"/>
        </w:rPr>
        <w:t>;</w:t>
      </w:r>
      <w:r w:rsidR="008758B1">
        <w:rPr>
          <w:lang w:val="en-CA"/>
        </w:rPr>
        <w:t xml:space="preserve"> or</w:t>
      </w:r>
    </w:p>
    <w:p w14:paraId="735D8E72" w14:textId="77777777" w:rsidR="00F51FE1" w:rsidRPr="00081AFF" w:rsidRDefault="001C40CF" w:rsidP="00E60878">
      <w:pPr>
        <w:pStyle w:val="Heading4"/>
        <w:jc w:val="left"/>
        <w:rPr>
          <w:lang w:val="en-CA"/>
        </w:rPr>
      </w:pPr>
      <w:r w:rsidRPr="00081AFF">
        <w:rPr>
          <w:lang w:val="en-CA"/>
        </w:rPr>
        <w:t>A Unit’s S</w:t>
      </w:r>
      <w:r w:rsidR="00046CC1">
        <w:rPr>
          <w:lang w:val="en-CA"/>
        </w:rPr>
        <w:t xml:space="preserve">cheduling </w:t>
      </w:r>
      <w:r w:rsidRPr="00081AFF">
        <w:rPr>
          <w:lang w:val="en-CA"/>
        </w:rPr>
        <w:t>C</w:t>
      </w:r>
      <w:r w:rsidR="00046CC1">
        <w:rPr>
          <w:lang w:val="en-CA"/>
        </w:rPr>
        <w:t>oordinator</w:t>
      </w:r>
      <w:r w:rsidRPr="00081AFF">
        <w:rPr>
          <w:lang w:val="en-CA"/>
        </w:rPr>
        <w:t xml:space="preserve">’s failure to timely or accurately </w:t>
      </w:r>
      <w:r w:rsidR="00ED4898">
        <w:rPr>
          <w:lang w:val="en-CA"/>
        </w:rPr>
        <w:t>submit Supply Plans</w:t>
      </w:r>
      <w:r w:rsidR="009C483B">
        <w:rPr>
          <w:szCs w:val="24"/>
        </w:rPr>
        <w:t xml:space="preserve"> in accordance with the applicable Tariff</w:t>
      </w:r>
      <w:r w:rsidR="009C483B" w:rsidRPr="000D1D0D">
        <w:t xml:space="preserve"> </w:t>
      </w:r>
      <w:r w:rsidRPr="00081AFF">
        <w:rPr>
          <w:lang w:val="en-CA"/>
        </w:rPr>
        <w:t>that identify Buyer’s right to the Contract Quantity purchased hereunder for each day of the Delivery Period.</w:t>
      </w:r>
    </w:p>
    <w:p w14:paraId="672E9117" w14:textId="77777777" w:rsidR="00F51FE1" w:rsidRPr="00D36040" w:rsidRDefault="001C40CF" w:rsidP="00E60878">
      <w:pPr>
        <w:pStyle w:val="Heading3"/>
        <w:jc w:val="left"/>
        <w:rPr>
          <w:color w:val="auto"/>
          <w:lang w:val="en-CA"/>
        </w:rPr>
      </w:pPr>
      <w:r w:rsidRPr="00081AFF">
        <w:rPr>
          <w:lang w:val="en-CA"/>
        </w:rPr>
        <w:t xml:space="preserve">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penalties, fines, and costs.  </w:t>
      </w:r>
    </w:p>
    <w:p w14:paraId="00810BEE" w14:textId="7F8B094F" w:rsidR="00F51FE1" w:rsidRPr="00081AFF" w:rsidRDefault="001C40CF" w:rsidP="006B65DA">
      <w:pPr>
        <w:pStyle w:val="Heading2"/>
        <w:keepNext/>
        <w:jc w:val="left"/>
        <w:rPr>
          <w:lang w:val="en-CA"/>
        </w:rPr>
      </w:pPr>
      <w:r w:rsidRPr="00081AFF">
        <w:rPr>
          <w:lang w:val="en-CA"/>
        </w:rPr>
        <w:t>Buyer’s Re-Sale of Product</w:t>
      </w:r>
    </w:p>
    <w:p w14:paraId="71B36480" w14:textId="1578B741" w:rsidR="00F51FE1" w:rsidRPr="00081AFF" w:rsidRDefault="001C40CF" w:rsidP="008C4DF6">
      <w:pPr>
        <w:pStyle w:val="HeadingBody2"/>
        <w:jc w:val="left"/>
        <w:rPr>
          <w:lang w:val="en-CA"/>
        </w:rPr>
      </w:pPr>
      <w:r w:rsidRPr="00081AFF">
        <w:rPr>
          <w:lang w:val="en-CA"/>
        </w:rPr>
        <w:t>Buyer may re-sell all or a portion of the Product purchased under this Confirmation (“</w:t>
      </w:r>
      <w:r w:rsidRPr="008C4DF6">
        <w:rPr>
          <w:lang w:val="en-CA"/>
        </w:rPr>
        <w:t>Resold Product</w:t>
      </w:r>
      <w:r w:rsidRPr="00081AFF">
        <w:rPr>
          <w:lang w:val="en-CA"/>
        </w:rPr>
        <w:t xml:space="preserve">”); provided that such re-sell right does not include the ability to offer any portion of Product into the </w:t>
      </w:r>
      <w:r w:rsidR="00093A5A">
        <w:rPr>
          <w:lang w:val="en-CA"/>
        </w:rPr>
        <w:t>Competitive Solicitation Process</w:t>
      </w:r>
      <w:r w:rsidRPr="00081AFF">
        <w:rPr>
          <w:lang w:val="en-CA"/>
        </w:rPr>
        <w:t>.  If Buyer re-sells Product, Seller agrees, and agrees to cause the Unit’s S</w:t>
      </w:r>
      <w:r w:rsidR="00046CC1">
        <w:rPr>
          <w:lang w:val="en-CA"/>
        </w:rPr>
        <w:t xml:space="preserve">cheduling </w:t>
      </w:r>
      <w:r w:rsidRPr="00081AFF">
        <w:rPr>
          <w:lang w:val="en-CA"/>
        </w:rPr>
        <w:t>C</w:t>
      </w:r>
      <w:r w:rsidR="00046CC1">
        <w:rPr>
          <w:lang w:val="en-CA"/>
        </w:rPr>
        <w:t>oordinator</w:t>
      </w:r>
      <w:r w:rsidRPr="00081AFF">
        <w:rPr>
          <w:lang w:val="en-CA"/>
        </w:rPr>
        <w:t>, to follow Buyer’s instructions with respect to providing such Resold Product to subsequent purchasers of such Resold Product to the extent such instructions are consistent with Seller’s obligations under this Confirmation.  Seller further agrees, and agrees to cause the Unit’s S</w:t>
      </w:r>
      <w:r w:rsidR="00046CC1">
        <w:rPr>
          <w:lang w:val="en-CA"/>
        </w:rPr>
        <w:t xml:space="preserve">cheduling </w:t>
      </w:r>
      <w:r w:rsidRPr="00081AFF">
        <w:rPr>
          <w:lang w:val="en-CA"/>
        </w:rPr>
        <w:t>C</w:t>
      </w:r>
      <w:r w:rsidR="00046CC1">
        <w:rPr>
          <w:lang w:val="en-CA"/>
        </w:rPr>
        <w:t>oordinator</w:t>
      </w:r>
      <w:r w:rsidRPr="00081AFF">
        <w:rPr>
          <w:lang w:val="en-CA"/>
        </w:rPr>
        <w:t xml:space="preserve">, to take all commercially reasonable actions and execute any and all documents or instruments reasonably necessary to allow such subsequent purchasers to use such Resold Product in a manner consistent with Buyer’s rights under this Confirmation.  If Buyer incurs any liability to any </w:t>
      </w:r>
      <w:r w:rsidR="004D5FE9">
        <w:rPr>
          <w:lang w:val="en-CA"/>
        </w:rPr>
        <w:t xml:space="preserve">subsequent </w:t>
      </w:r>
      <w:r w:rsidRPr="00081AFF">
        <w:rPr>
          <w:lang w:val="en-CA"/>
        </w:rPr>
        <w:t>purchaser of such Resold Product due to the failure of Seller or the Unit’s S</w:t>
      </w:r>
      <w:r w:rsidR="00046CC1">
        <w:rPr>
          <w:lang w:val="en-CA"/>
        </w:rPr>
        <w:t xml:space="preserve">cheduling </w:t>
      </w:r>
      <w:r w:rsidRPr="00081AFF">
        <w:rPr>
          <w:lang w:val="en-CA"/>
        </w:rPr>
        <w:t>C</w:t>
      </w:r>
      <w:r w:rsidR="00046CC1">
        <w:rPr>
          <w:lang w:val="en-CA"/>
        </w:rPr>
        <w:t>oordinator</w:t>
      </w:r>
      <w:r w:rsidRPr="00081AFF">
        <w:rPr>
          <w:lang w:val="en-CA"/>
        </w:rPr>
        <w:t xml:space="preserve"> to comply with the terms of this Confirmation, then Seller shall be liable to Buyer for any liabilities Seller would have incurred under this Confirmation if Buyer had not resold the Product, including without limi</w:t>
      </w:r>
      <w:r w:rsidR="000114FE">
        <w:rPr>
          <w:lang w:val="en-CA"/>
        </w:rPr>
        <w:t>tation, pursuant to Sections 2.5 and 2.6</w:t>
      </w:r>
      <w:r w:rsidRPr="00081AFF">
        <w:rPr>
          <w:lang w:val="en-CA"/>
        </w:rPr>
        <w:t xml:space="preserve">. </w:t>
      </w:r>
    </w:p>
    <w:p w14:paraId="0A2387CD" w14:textId="4A90D5C0" w:rsidR="00F51FE1" w:rsidRDefault="001C40CF" w:rsidP="008C4DF6">
      <w:pPr>
        <w:pStyle w:val="HeadingBody2"/>
        <w:jc w:val="left"/>
        <w:rPr>
          <w:lang w:val="en-CA"/>
        </w:rPr>
      </w:pPr>
      <w:r w:rsidRPr="00081AFF">
        <w:rPr>
          <w:lang w:val="en-CA"/>
        </w:rPr>
        <w:lastRenderedPageBreak/>
        <w:t>If Buyer exercises its right to re-sell the Product, Buyer shall notify Seller in writing that such sale has occurred</w:t>
      </w:r>
      <w:r w:rsidR="008F169C">
        <w:rPr>
          <w:lang w:val="en-CA"/>
        </w:rPr>
        <w:t xml:space="preserve"> by</w:t>
      </w:r>
      <w:r w:rsidR="00F9254E">
        <w:rPr>
          <w:lang w:val="en-CA"/>
        </w:rPr>
        <w:t xml:space="preserve"> provid</w:t>
      </w:r>
      <w:r w:rsidR="008F169C">
        <w:rPr>
          <w:lang w:val="en-CA"/>
        </w:rPr>
        <w:t>ing</w:t>
      </w:r>
      <w:r w:rsidR="00F9254E">
        <w:rPr>
          <w:lang w:val="en-CA"/>
        </w:rPr>
        <w:t xml:space="preserve"> to Seller </w:t>
      </w:r>
      <w:r w:rsidR="0027414C">
        <w:rPr>
          <w:lang w:val="en-CA"/>
        </w:rPr>
        <w:t xml:space="preserve">the information described in Appendix C </w:t>
      </w:r>
      <w:r w:rsidR="0010769F">
        <w:rPr>
          <w:lang w:val="en-CA"/>
        </w:rPr>
        <w:t>(“</w:t>
      </w:r>
      <w:r w:rsidR="0010769F" w:rsidRPr="008C4DF6">
        <w:rPr>
          <w:lang w:val="en-CA"/>
        </w:rPr>
        <w:t>Re-sale Plan</w:t>
      </w:r>
      <w:r w:rsidR="0010769F">
        <w:rPr>
          <w:lang w:val="en-CA"/>
        </w:rPr>
        <w:t>”)</w:t>
      </w:r>
      <w:r w:rsidR="00F9254E">
        <w:rPr>
          <w:lang w:val="en-CA"/>
        </w:rPr>
        <w:t xml:space="preserve">. </w:t>
      </w:r>
      <w:r w:rsidR="00744469">
        <w:rPr>
          <w:lang w:val="en-CA"/>
        </w:rPr>
        <w:t>The</w:t>
      </w:r>
      <w:r w:rsidR="00F9254E">
        <w:rPr>
          <w:lang w:val="en-CA"/>
        </w:rPr>
        <w:t xml:space="preserve"> </w:t>
      </w:r>
      <w:r w:rsidR="0010769F">
        <w:rPr>
          <w:lang w:val="en-CA"/>
        </w:rPr>
        <w:t>Re-sale Plan</w:t>
      </w:r>
      <w:r w:rsidR="00F9254E">
        <w:rPr>
          <w:lang w:val="en-CA"/>
        </w:rPr>
        <w:t xml:space="preserve"> </w:t>
      </w:r>
      <w:r w:rsidR="00EC5FDC">
        <w:rPr>
          <w:lang w:val="en-CA"/>
        </w:rPr>
        <w:t>shall be provided</w:t>
      </w:r>
      <w:r w:rsidR="00F9254E">
        <w:rPr>
          <w:lang w:val="en-CA"/>
        </w:rPr>
        <w:t xml:space="preserve"> </w:t>
      </w:r>
      <w:r w:rsidRPr="00081AFF">
        <w:rPr>
          <w:lang w:val="en-CA"/>
        </w:rPr>
        <w:t>no later than t</w:t>
      </w:r>
      <w:r w:rsidR="005D1DCC">
        <w:rPr>
          <w:lang w:val="en-CA"/>
        </w:rPr>
        <w:t>hree</w:t>
      </w:r>
      <w:r w:rsidR="006A6A5F">
        <w:rPr>
          <w:lang w:val="en-CA"/>
        </w:rPr>
        <w:t xml:space="preserve"> (</w:t>
      </w:r>
      <w:r w:rsidR="00BC607F">
        <w:rPr>
          <w:lang w:val="en-CA"/>
        </w:rPr>
        <w:t>3</w:t>
      </w:r>
      <w:r w:rsidR="006A6A5F">
        <w:rPr>
          <w:lang w:val="en-CA"/>
        </w:rPr>
        <w:t>) </w:t>
      </w:r>
      <w:r w:rsidR="006A6A5F" w:rsidRPr="00081AFF">
        <w:rPr>
          <w:lang w:val="en-CA"/>
        </w:rPr>
        <w:t>B</w:t>
      </w:r>
      <w:r w:rsidRPr="00081AFF">
        <w:rPr>
          <w:lang w:val="en-CA"/>
        </w:rPr>
        <w:t>usiness Days before the deadline for the Compliance Showings applicable to the relevant Showing Month</w:t>
      </w:r>
      <w:r w:rsidR="009C338F">
        <w:rPr>
          <w:lang w:val="en-CA"/>
        </w:rPr>
        <w:t>, except where Buyer exercises its rights under Article 7, then Buyer shall notify Seller in accordance with deadlines described in Article 7</w:t>
      </w:r>
      <w:r w:rsidRPr="00081AFF">
        <w:rPr>
          <w:lang w:val="en-CA"/>
        </w:rPr>
        <w:t xml:space="preserve">.  Buyer shall notify Seller of any subsequent changes or further resale of the Resold Product, </w:t>
      </w:r>
      <w:r w:rsidR="00DF40F4">
        <w:rPr>
          <w:lang w:val="en-CA"/>
        </w:rPr>
        <w:t>and such notice shall include all</w:t>
      </w:r>
      <w:r w:rsidRPr="00081AFF">
        <w:rPr>
          <w:lang w:val="en-CA"/>
        </w:rPr>
        <w:t xml:space="preserve"> updates to the information in Appendix </w:t>
      </w:r>
      <w:r w:rsidR="00A9192F">
        <w:rPr>
          <w:lang w:val="en-CA"/>
        </w:rPr>
        <w:t>C</w:t>
      </w:r>
      <w:r w:rsidR="003634BE" w:rsidRPr="00081AFF">
        <w:rPr>
          <w:lang w:val="en-CA"/>
        </w:rPr>
        <w:t xml:space="preserve"> </w:t>
      </w:r>
      <w:r w:rsidRPr="00081AFF">
        <w:rPr>
          <w:lang w:val="en-CA"/>
        </w:rPr>
        <w:t>in accordance with the deadlin</w:t>
      </w:r>
      <w:r w:rsidR="000114FE">
        <w:rPr>
          <w:lang w:val="en-CA"/>
        </w:rPr>
        <w:t>es described in this Section 2.7</w:t>
      </w:r>
      <w:r w:rsidRPr="00081AFF">
        <w:rPr>
          <w:lang w:val="en-CA"/>
        </w:rPr>
        <w:t>(b).</w:t>
      </w:r>
    </w:p>
    <w:p w14:paraId="101D87E3" w14:textId="77777777" w:rsidR="00F51FE1" w:rsidRPr="0033546E" w:rsidRDefault="001C40CF" w:rsidP="00D5411B">
      <w:pPr>
        <w:pStyle w:val="Heading1"/>
      </w:pPr>
      <w:r w:rsidRPr="0033546E">
        <w:rPr>
          <w:lang w:val="en-CA"/>
        </w:rPr>
        <w:br/>
      </w:r>
      <w:r w:rsidRPr="0033546E">
        <w:t>Payment</w:t>
      </w:r>
    </w:p>
    <w:p w14:paraId="57F2BCB8" w14:textId="77777777" w:rsidR="00090A00" w:rsidRDefault="001C40CF" w:rsidP="00072107">
      <w:pPr>
        <w:pStyle w:val="Heading2"/>
        <w:keepNext/>
        <w:jc w:val="left"/>
        <w:rPr>
          <w:lang w:val="en-CA"/>
        </w:rPr>
      </w:pPr>
      <w:bookmarkStart w:id="3" w:name="_Ref144206323"/>
      <w:r w:rsidRPr="00081AFF">
        <w:rPr>
          <w:lang w:val="en-CA"/>
        </w:rPr>
        <w:t>Monthly Payment</w:t>
      </w:r>
      <w:bookmarkEnd w:id="3"/>
    </w:p>
    <w:p w14:paraId="0356342D" w14:textId="1EE4E4CB" w:rsidR="00090A00" w:rsidRPr="00090A00" w:rsidRDefault="001C40CF" w:rsidP="00E60878">
      <w:pPr>
        <w:pStyle w:val="BodyTextLeft"/>
        <w:jc w:val="left"/>
        <w:rPr>
          <w:b/>
        </w:rPr>
      </w:pPr>
      <w:r w:rsidRPr="00090A00">
        <w:t>Buyer shall make a payment (a “</w:t>
      </w:r>
      <w:r w:rsidRPr="00090A00">
        <w:rPr>
          <w:u w:val="single"/>
        </w:rPr>
        <w:t>Monthly Payment</w:t>
      </w:r>
      <w:r w:rsidRPr="00090A00">
        <w:t xml:space="preserve">”) to Seller, for the applicable Showing Month, as follows: </w:t>
      </w:r>
    </w:p>
    <w:p w14:paraId="1D1C517B" w14:textId="77777777" w:rsidR="00090A00" w:rsidRPr="00090A00" w:rsidRDefault="001C40CF" w:rsidP="00E60878">
      <w:pPr>
        <w:pStyle w:val="Equation"/>
        <w:jc w:val="left"/>
        <w:rPr>
          <w:bCs/>
          <w:i w:val="0"/>
          <w:iCs/>
          <w:lang w:val="en-CA"/>
        </w:rPr>
      </w:pPr>
      <m:oMathPara>
        <m:oMathParaPr>
          <m:jc m:val="left"/>
        </m:oMathParaPr>
        <m:oMath>
          <m:r>
            <w:rPr>
              <w:rFonts w:ascii="Cambria Math" w:hAnsi="Cambria Math"/>
            </w:rPr>
            <m:t>Monthly Payment=Q×P×CF</m:t>
          </m:r>
        </m:oMath>
      </m:oMathPara>
    </w:p>
    <w:p w14:paraId="626E98D3" w14:textId="77777777" w:rsidR="00090A00" w:rsidRPr="00090A00" w:rsidRDefault="001C40CF" w:rsidP="00E60878">
      <w:pPr>
        <w:pStyle w:val="HeadingBody2"/>
        <w:jc w:val="left"/>
      </w:pPr>
      <w:r w:rsidRPr="00090A00">
        <w:t>where:</w:t>
      </w:r>
    </w:p>
    <w:p w14:paraId="47E9B8E2" w14:textId="77777777" w:rsidR="00090A00" w:rsidRPr="00090A00" w:rsidRDefault="001C40CF" w:rsidP="00E60878">
      <w:pPr>
        <w:pStyle w:val="Equation2"/>
        <w:jc w:val="left"/>
      </w:pPr>
      <w:r w:rsidRPr="00090A00">
        <w:rPr>
          <w:iCs/>
        </w:rPr>
        <w:t>Q</w:t>
      </w:r>
      <w:r w:rsidRPr="00090A00">
        <w:tab/>
        <w:t>=</w:t>
      </w:r>
      <w:r w:rsidRPr="00090A00">
        <w:tab/>
        <w:t xml:space="preserve">The </w:t>
      </w:r>
      <w:r w:rsidR="005570D2">
        <w:t>Contract Q</w:t>
      </w:r>
      <w:r w:rsidRPr="00090A00">
        <w:t xml:space="preserve">uantity of Product to be delivered by Seller to Buyer pursuant to </w:t>
      </w:r>
      <w:r w:rsidR="005570D2">
        <w:t xml:space="preserve">Appendix B </w:t>
      </w:r>
      <w:r w:rsidRPr="00090A00">
        <w:t xml:space="preserve">and consistent with Section 2.4 for the Showing Month </w:t>
      </w:r>
    </w:p>
    <w:p w14:paraId="6C6694F5" w14:textId="77777777" w:rsidR="00090A00" w:rsidRPr="00090A00" w:rsidRDefault="001C40CF" w:rsidP="00E60878">
      <w:pPr>
        <w:pStyle w:val="Equation2"/>
        <w:jc w:val="left"/>
      </w:pPr>
      <w:r w:rsidRPr="00090A00">
        <w:t>P</w:t>
      </w:r>
      <w:r w:rsidRPr="00090A00">
        <w:tab/>
        <w:t>=</w:t>
      </w:r>
      <w:r w:rsidRPr="00090A00">
        <w:tab/>
        <w:t>The Contract Price for the Showing Month, expressed in dollars per kW-month</w:t>
      </w:r>
      <w:r w:rsidR="005570D2">
        <w:t>, as stated in Appendix B</w:t>
      </w:r>
    </w:p>
    <w:p w14:paraId="366D798F" w14:textId="77777777" w:rsidR="00090A00" w:rsidRPr="00090A00" w:rsidRDefault="001C40CF" w:rsidP="00E60878">
      <w:pPr>
        <w:pStyle w:val="Equation2"/>
        <w:jc w:val="left"/>
      </w:pPr>
      <w:r w:rsidRPr="00090A00">
        <w:t>CF</w:t>
      </w:r>
      <w:r w:rsidRPr="00090A00">
        <w:tab/>
        <w:t>=</w:t>
      </w:r>
      <w:r w:rsidRPr="00090A00">
        <w:tab/>
        <w:t>The conversion factor equal to 1,000 kW per MW</w:t>
      </w:r>
    </w:p>
    <w:p w14:paraId="20DD34D9" w14:textId="77777777" w:rsidR="00275A49" w:rsidRDefault="001C40CF" w:rsidP="00E60878">
      <w:pPr>
        <w:pStyle w:val="BodyTextLeft"/>
        <w:jc w:val="left"/>
      </w:pPr>
      <w:r w:rsidRPr="002700D8">
        <w:t>The Monthly Payment calculation shall be rounded to two decimal place</w:t>
      </w:r>
      <w:r w:rsidRPr="00B53BFD">
        <w:t>s</w:t>
      </w:r>
      <w:r w:rsidR="0075721E" w:rsidRPr="00B53BFD">
        <w:t>.</w:t>
      </w:r>
      <w:r>
        <w:t xml:space="preserve"> </w:t>
      </w:r>
    </w:p>
    <w:p w14:paraId="614130C3" w14:textId="77777777" w:rsidR="00F51FE1" w:rsidRDefault="001C40CF" w:rsidP="00E60878">
      <w:pPr>
        <w:pStyle w:val="BodyTextLeft"/>
        <w:jc w:val="left"/>
      </w:pPr>
      <w:r>
        <w:t xml:space="preserve">If the Confirmation Effective Date is more than </w:t>
      </w:r>
      <w:r w:rsidR="00342855">
        <w:t>fifteen (15) calendar days prior to</w:t>
      </w:r>
      <w:r>
        <w:t xml:space="preserve"> the</w:t>
      </w:r>
      <w:r w:rsidR="00342855">
        <w:t xml:space="preserve"> deadline for the</w:t>
      </w:r>
      <w:r>
        <w:t xml:space="preserve"> corresponding Compliance Showing applicable to the relevant Showing Month, p</w:t>
      </w:r>
      <w:r w:rsidR="0075721E">
        <w:t>ayment</w:t>
      </w:r>
      <w:r w:rsidR="00D977CF">
        <w:t xml:space="preserve"> </w:t>
      </w:r>
      <w:r>
        <w:t xml:space="preserve">shall be paid by Buyer </w:t>
      </w:r>
      <w:r w:rsidR="0075721E">
        <w:t xml:space="preserve">and received by Seller </w:t>
      </w:r>
      <w:r>
        <w:t xml:space="preserve">no later than </w:t>
      </w:r>
      <w:r w:rsidR="00813D91">
        <w:t xml:space="preserve">fifteen </w:t>
      </w:r>
      <w:r>
        <w:t>(</w:t>
      </w:r>
      <w:r w:rsidR="00813D91">
        <w:t>15</w:t>
      </w:r>
      <w:r>
        <w:t xml:space="preserve">) </w:t>
      </w:r>
      <w:r w:rsidR="001763F5">
        <w:t xml:space="preserve">calendar </w:t>
      </w:r>
      <w:r>
        <w:t xml:space="preserve">days prior to the </w:t>
      </w:r>
      <w:r w:rsidR="00813D91">
        <w:t>deadlines for the corresponding Compliance Showings applicable to the Showing Month</w:t>
      </w:r>
      <w:r>
        <w:t>. If th</w:t>
      </w:r>
      <w:r w:rsidR="00D977CF">
        <w:t>e Confirmation Effective Date</w:t>
      </w:r>
      <w:r>
        <w:t xml:space="preserve"> is </w:t>
      </w:r>
      <w:r w:rsidR="00813D91">
        <w:t xml:space="preserve">fifteen </w:t>
      </w:r>
      <w:r>
        <w:t>(</w:t>
      </w:r>
      <w:r w:rsidR="00813D91">
        <w:t>15</w:t>
      </w:r>
      <w:r>
        <w:t xml:space="preserve">) </w:t>
      </w:r>
      <w:r w:rsidR="001763F5">
        <w:t xml:space="preserve">calendar </w:t>
      </w:r>
      <w:r>
        <w:t xml:space="preserve">days </w:t>
      </w:r>
      <w:r w:rsidR="00857B5C">
        <w:t xml:space="preserve">or less </w:t>
      </w:r>
      <w:r w:rsidR="005570D2">
        <w:t>from</w:t>
      </w:r>
      <w:r w:rsidR="00857B5C">
        <w:t xml:space="preserve"> </w:t>
      </w:r>
      <w:r w:rsidR="00813D91">
        <w:t xml:space="preserve">the deadline for the corresponding Compliance Showing </w:t>
      </w:r>
      <w:r>
        <w:t xml:space="preserve">applicable </w:t>
      </w:r>
      <w:r w:rsidR="00813D91">
        <w:t xml:space="preserve">to the relevant </w:t>
      </w:r>
      <w:r>
        <w:t xml:space="preserve">Showing Month, the Monthly Payment shall be made </w:t>
      </w:r>
      <w:r w:rsidR="0075721E">
        <w:t xml:space="preserve">by Buyer and received by Seller </w:t>
      </w:r>
      <w:r w:rsidR="00857B5C">
        <w:t xml:space="preserve">no later than </w:t>
      </w:r>
      <w:r>
        <w:t>five</w:t>
      </w:r>
      <w:r w:rsidR="006A6A5F">
        <w:t xml:space="preserve"> (5) </w:t>
      </w:r>
      <w:r w:rsidR="00A443A1">
        <w:t>B</w:t>
      </w:r>
      <w:r>
        <w:t xml:space="preserve">usiness days </w:t>
      </w:r>
      <w:r w:rsidR="00857B5C">
        <w:t>follo</w:t>
      </w:r>
      <w:r w:rsidR="0004687F">
        <w:t>w</w:t>
      </w:r>
      <w:r w:rsidR="00857B5C">
        <w:t>ing</w:t>
      </w:r>
      <w:r>
        <w:t xml:space="preserve"> </w:t>
      </w:r>
      <w:r w:rsidR="009319D7">
        <w:t xml:space="preserve">the </w:t>
      </w:r>
      <w:r>
        <w:t xml:space="preserve">Confirmation </w:t>
      </w:r>
      <w:r w:rsidR="009319D7">
        <w:t>E</w:t>
      </w:r>
      <w:r>
        <w:t xml:space="preserve">ffective </w:t>
      </w:r>
      <w:r w:rsidR="009319D7">
        <w:t>D</w:t>
      </w:r>
      <w:r>
        <w:t>ate.</w:t>
      </w:r>
    </w:p>
    <w:p w14:paraId="15E0536C" w14:textId="77777777" w:rsidR="00F51FE1" w:rsidRPr="00081AFF" w:rsidRDefault="001C40CF" w:rsidP="00072107">
      <w:pPr>
        <w:pStyle w:val="Heading2"/>
        <w:keepNext/>
        <w:jc w:val="left"/>
        <w:rPr>
          <w:lang w:val="en-CA"/>
        </w:rPr>
      </w:pPr>
      <w:bookmarkStart w:id="4" w:name="_Ref144206719"/>
      <w:r w:rsidRPr="00081AFF">
        <w:rPr>
          <w:lang w:val="en-CA"/>
        </w:rPr>
        <w:t>Allocation of Other Payments and Costs</w:t>
      </w:r>
      <w:bookmarkEnd w:id="4"/>
    </w:p>
    <w:p w14:paraId="59ED18C5" w14:textId="77777777" w:rsidR="009B54E8" w:rsidRDefault="001C40CF" w:rsidP="00E60878">
      <w:pPr>
        <w:pStyle w:val="Heading3"/>
        <w:jc w:val="left"/>
        <w:rPr>
          <w:lang w:val="en-CA"/>
        </w:rPr>
      </w:pPr>
      <w:r w:rsidRPr="00081AFF">
        <w:rPr>
          <w:lang w:val="en-CA"/>
        </w:rPr>
        <w:t>Seller is entitled to retain any revenues it may receive from, and shall pay all costs charged by, CAISO or any other third party with respect to the Unit for</w:t>
      </w:r>
      <w:r w:rsidR="006A6A5F">
        <w:rPr>
          <w:lang w:val="en-CA"/>
        </w:rPr>
        <w:t xml:space="preserve"> (</w:t>
      </w:r>
      <w:r w:rsidR="006A6A5F" w:rsidRPr="00081AFF">
        <w:rPr>
          <w:lang w:val="en-CA"/>
        </w:rPr>
        <w:t>i</w:t>
      </w:r>
      <w:r w:rsidR="006A6A5F">
        <w:rPr>
          <w:lang w:val="en-CA"/>
        </w:rPr>
        <w:t>) </w:t>
      </w:r>
      <w:r w:rsidR="006A6A5F" w:rsidRPr="00081AFF">
        <w:rPr>
          <w:lang w:val="en-CA"/>
        </w:rPr>
        <w:t>s</w:t>
      </w:r>
      <w:r w:rsidRPr="00081AFF">
        <w:rPr>
          <w:lang w:val="en-CA"/>
        </w:rPr>
        <w:t xml:space="preserve">tart-up, shutdown, and minimum load costs, (ii) capacity revenue for ancillary services, (iii) energy sales, (iv) revenue for flexible ramping product, </w:t>
      </w:r>
      <w:r w:rsidR="006F4987">
        <w:rPr>
          <w:lang w:val="en-CA"/>
        </w:rPr>
        <w:t xml:space="preserve">and </w:t>
      </w:r>
      <w:r w:rsidR="006A6A5F">
        <w:rPr>
          <w:lang w:val="en-CA"/>
        </w:rPr>
        <w:t>(</w:t>
      </w:r>
      <w:r w:rsidR="006A6A5F" w:rsidRPr="00081AFF">
        <w:rPr>
          <w:lang w:val="en-CA"/>
        </w:rPr>
        <w:t>v</w:t>
      </w:r>
      <w:r w:rsidR="006A6A5F">
        <w:rPr>
          <w:lang w:val="en-CA"/>
        </w:rPr>
        <w:t>) </w:t>
      </w:r>
      <w:r w:rsidR="006A6A5F" w:rsidRPr="00081AFF">
        <w:rPr>
          <w:lang w:val="en-CA"/>
        </w:rPr>
        <w:t>a</w:t>
      </w:r>
      <w:r w:rsidRPr="00081AFF">
        <w:rPr>
          <w:lang w:val="en-CA"/>
        </w:rPr>
        <w:t xml:space="preserve">ny revenues for black start or reactive power services.  All Seller revenues described in this Section 3.2(a) and received by Buyer or a purchaser of Resold Product must be remitted to Seller and Buyer shall pay such revenues to Seller if received </w:t>
      </w:r>
      <w:r w:rsidRPr="00081AFF">
        <w:rPr>
          <w:lang w:val="en-CA"/>
        </w:rPr>
        <w:lastRenderedPageBreak/>
        <w:t xml:space="preserve">by Buyer or if a </w:t>
      </w:r>
      <w:r w:rsidR="005570D2">
        <w:rPr>
          <w:lang w:val="en-CA"/>
        </w:rPr>
        <w:t xml:space="preserve">subsequent </w:t>
      </w:r>
      <w:r w:rsidRPr="00081AFF">
        <w:rPr>
          <w:lang w:val="en-CA"/>
        </w:rPr>
        <w:t xml:space="preserve">purchaser of Resold Product fails to remit those revenues to Seller.  </w:t>
      </w:r>
    </w:p>
    <w:p w14:paraId="77DC22CB" w14:textId="77777777" w:rsidR="009B54E8" w:rsidRDefault="001C40CF" w:rsidP="00E60878">
      <w:pPr>
        <w:pStyle w:val="Heading3"/>
        <w:numPr>
          <w:ilvl w:val="0"/>
          <w:numId w:val="0"/>
        </w:numPr>
        <w:ind w:left="1440"/>
        <w:jc w:val="left"/>
        <w:rPr>
          <w:lang w:val="en-CA"/>
        </w:rPr>
      </w:pPr>
      <w:r w:rsidRPr="00081AFF">
        <w:rPr>
          <w:lang w:val="en-CA"/>
        </w:rPr>
        <w:t xml:space="preserve">If Buyer fails to pay such revenues to Seller, Seller may recoup any amounts owing to it for such revenues against any future amounts it may owe to Buyer. </w:t>
      </w:r>
    </w:p>
    <w:p w14:paraId="532FAECB" w14:textId="77777777" w:rsidR="00F51FE1" w:rsidRPr="00081AFF" w:rsidRDefault="001C40CF" w:rsidP="00E60878">
      <w:pPr>
        <w:pStyle w:val="Heading3"/>
        <w:numPr>
          <w:ilvl w:val="0"/>
          <w:numId w:val="0"/>
        </w:numPr>
        <w:ind w:left="1440"/>
        <w:jc w:val="left"/>
        <w:rPr>
          <w:lang w:val="en-CA"/>
        </w:rPr>
      </w:pPr>
      <w:r w:rsidRPr="00081AFF">
        <w:rPr>
          <w:lang w:val="en-CA"/>
        </w:rPr>
        <w:t>Seller shall indemnify, defend and hold Buyer harmless from and against all liabilities, damages, claims, losses, costs or expenses (including, without limitation, attorneys</w:t>
      </w:r>
      <w:r>
        <w:rPr>
          <w:lang w:val="en-CA"/>
        </w:rPr>
        <w:t>’</w:t>
      </w:r>
      <w:r w:rsidRPr="00081AFF">
        <w:rPr>
          <w:lang w:val="en-CA"/>
        </w:rPr>
        <w:t xml:space="preserve"> fees) incurred by or brought against Buyer in connection with Environmental Costs.</w:t>
      </w:r>
    </w:p>
    <w:p w14:paraId="6751950F" w14:textId="77777777" w:rsidR="00F51FE1" w:rsidRPr="00081AFF" w:rsidRDefault="001C40CF" w:rsidP="00E60878">
      <w:pPr>
        <w:pStyle w:val="Heading3"/>
        <w:jc w:val="left"/>
        <w:rPr>
          <w:lang w:val="en-CA"/>
        </w:rPr>
      </w:pPr>
      <w:r w:rsidRPr="00081AFF">
        <w:rPr>
          <w:lang w:val="en-CA"/>
        </w:rPr>
        <w:t>In order to verify the accuracy of such revenues, Buyer has the right, at its sole expense and during normal working hours after reasonable prior notice, to hire an independent third party reasonably acceptable to Seller to audit any documents, records or data of Seller associated with the Contract Quantity and in accordance with Section 3.1 of this Confirmation and Article Six of the Master Agreement.</w:t>
      </w:r>
    </w:p>
    <w:p w14:paraId="3FD04F32" w14:textId="77777777" w:rsidR="00F51FE1" w:rsidRPr="00081AFF" w:rsidRDefault="001C40CF" w:rsidP="00E60878">
      <w:pPr>
        <w:pStyle w:val="Heading3"/>
        <w:jc w:val="left"/>
        <w:rPr>
          <w:lang w:val="en-CA"/>
        </w:rPr>
      </w:pPr>
      <w:r w:rsidRPr="00081AFF">
        <w:rPr>
          <w:lang w:val="en-CA"/>
        </w:rPr>
        <w:t xml:space="preserve">If CAISO </w:t>
      </w:r>
      <w:r w:rsidR="00DF40F4">
        <w:rPr>
          <w:lang w:val="en-CA"/>
        </w:rPr>
        <w:t xml:space="preserve">or CPUC </w:t>
      </w:r>
      <w:r w:rsidRPr="00081AFF">
        <w:rPr>
          <w:lang w:val="en-CA"/>
        </w:rPr>
        <w:t>develops a centralized capacity market, Buyer will have exclusive rights to tell the Seller or the Unit’s S</w:t>
      </w:r>
      <w:r w:rsidR="00046CC1">
        <w:rPr>
          <w:lang w:val="en-CA"/>
        </w:rPr>
        <w:t xml:space="preserve">cheduling </w:t>
      </w:r>
      <w:r w:rsidRPr="00081AFF">
        <w:rPr>
          <w:lang w:val="en-CA"/>
        </w:rPr>
        <w:t>C</w:t>
      </w:r>
      <w:r w:rsidR="00046CC1">
        <w:rPr>
          <w:lang w:val="en-CA"/>
        </w:rPr>
        <w:t>oordinator</w:t>
      </w:r>
      <w:r w:rsidRPr="00081AFF">
        <w:rPr>
          <w:lang w:val="en-CA"/>
        </w:rPr>
        <w:t xml:space="preserve"> to offer, bid, or otherwise submit the applicable Contract Quantity of Product for each day during the Delivery Period provided to Buyer pursuant to this Confirmation for re-sale in such market, and retain and receive all revenues</w:t>
      </w:r>
      <w:r w:rsidR="005570D2">
        <w:rPr>
          <w:lang w:val="en-CA"/>
        </w:rPr>
        <w:t xml:space="preserve"> </w:t>
      </w:r>
      <w:r w:rsidR="00F34967">
        <w:rPr>
          <w:lang w:val="en-CA"/>
        </w:rPr>
        <w:t>from such re-sale.</w:t>
      </w:r>
      <w:r w:rsidRPr="00081AFF">
        <w:rPr>
          <w:lang w:val="en-CA"/>
        </w:rPr>
        <w:t xml:space="preserve">  </w:t>
      </w:r>
    </w:p>
    <w:p w14:paraId="357AF679" w14:textId="77777777" w:rsidR="00273B6F" w:rsidRPr="00273B6F" w:rsidRDefault="001C40CF" w:rsidP="00273B6F">
      <w:pPr>
        <w:pStyle w:val="Heading3"/>
        <w:jc w:val="left"/>
        <w:rPr>
          <w:lang w:val="en-CA"/>
        </w:rPr>
      </w:pPr>
      <w:r w:rsidRPr="00081AFF">
        <w:rPr>
          <w:lang w:val="en-CA"/>
        </w:rPr>
        <w:t>Buyer and Seller agree that the Unit is subject to the terms of the Availability Standards, Non-Availability Charges, and Availability Incentive Payments as contemplated under Section 40.9 of the Tariff.  Any Availability Incentive Payments or Non-Availability Charges are for the account, or are the responsibility of, the Seller, as applicable.</w:t>
      </w:r>
    </w:p>
    <w:p w14:paraId="494E5A78" w14:textId="77777777" w:rsidR="00F51FE1" w:rsidRPr="0033546E" w:rsidRDefault="001C40CF" w:rsidP="00D5411B">
      <w:pPr>
        <w:pStyle w:val="Heading1"/>
        <w:rPr>
          <w:lang w:val="en-CA"/>
        </w:rPr>
      </w:pPr>
      <w:r w:rsidRPr="0033546E">
        <w:rPr>
          <w:lang w:val="en-CA"/>
        </w:rPr>
        <w:br/>
        <w:t>CAISO OFFER REQUIREMENTS</w:t>
      </w:r>
    </w:p>
    <w:p w14:paraId="5DF1979E" w14:textId="77777777" w:rsidR="00273B6F" w:rsidRPr="00273B6F" w:rsidRDefault="001C40CF" w:rsidP="00E60878">
      <w:pPr>
        <w:pStyle w:val="BodyTextLeft"/>
        <w:jc w:val="left"/>
      </w:pPr>
      <w:r w:rsidRPr="00081AFF">
        <w:t>Seller is responsible for, as applicable, scheduling or causing the applicable Unit’s S</w:t>
      </w:r>
      <w:r w:rsidR="00046CC1">
        <w:t xml:space="preserve">cheduling </w:t>
      </w:r>
      <w:r w:rsidRPr="00081AFF">
        <w:t>C</w:t>
      </w:r>
      <w:r w:rsidR="00046CC1">
        <w:t>oordinator</w:t>
      </w:r>
      <w:r w:rsidRPr="00081AFF">
        <w:t xml:space="preserve"> to schedule with, or make available to, CAISO the Product delivered to Buyer for each day during the Delivery Period in compliance with the Tariff, and performing all, or causing the Unit’s S</w:t>
      </w:r>
      <w:r w:rsidR="00046CC1">
        <w:t xml:space="preserve">cheduling </w:t>
      </w:r>
      <w:r w:rsidRPr="00081AFF">
        <w:t>C</w:t>
      </w:r>
      <w:r w:rsidR="00046CC1">
        <w:t>oordinator</w:t>
      </w:r>
      <w:r w:rsidRPr="00081AFF">
        <w:t>, owner, or operator, as applicable, to perform all obligations under the Tariff that are associated with the Product sold hereunder.  Buyer is not liable for the failure of Seller or the failure of any Unit’s S</w:t>
      </w:r>
      <w:r w:rsidR="00046CC1">
        <w:t xml:space="preserve">cheduling </w:t>
      </w:r>
      <w:r w:rsidRPr="00081AFF">
        <w:t>C</w:t>
      </w:r>
      <w:r w:rsidR="00046CC1">
        <w:t>oordinator</w:t>
      </w:r>
      <w:r w:rsidRPr="00081AFF">
        <w:t>, owner, or operator to comply with such Tariff provisions or any penalties or fines imposed on Seller or the Unit’s S</w:t>
      </w:r>
      <w:r w:rsidR="00046CC1">
        <w:t xml:space="preserve">cheduling </w:t>
      </w:r>
      <w:r w:rsidRPr="00081AFF">
        <w:t>C</w:t>
      </w:r>
      <w:r w:rsidR="00046CC1">
        <w:t>oordinator</w:t>
      </w:r>
      <w:r w:rsidRPr="00081AFF">
        <w:t xml:space="preserve"> (unless Seller is the S</w:t>
      </w:r>
      <w:r w:rsidR="00046CC1">
        <w:t xml:space="preserve">cheduling </w:t>
      </w:r>
      <w:r w:rsidRPr="00081AFF">
        <w:t>C</w:t>
      </w:r>
      <w:r w:rsidR="00046CC1">
        <w:t>oordinator</w:t>
      </w:r>
      <w:r w:rsidRPr="00081AFF">
        <w:t>), owner, or operator for such noncompliance.</w:t>
      </w:r>
      <w:bookmarkStart w:id="5" w:name="_DV_M47"/>
      <w:bookmarkStart w:id="6" w:name="_DV_M160"/>
      <w:bookmarkStart w:id="7" w:name="_DV_M161"/>
      <w:bookmarkStart w:id="8" w:name="_DV_M162"/>
      <w:bookmarkEnd w:id="5"/>
      <w:bookmarkEnd w:id="6"/>
      <w:bookmarkEnd w:id="7"/>
      <w:bookmarkEnd w:id="8"/>
    </w:p>
    <w:p w14:paraId="18526310" w14:textId="77777777" w:rsidR="00F51FE1" w:rsidRPr="0033546E" w:rsidRDefault="001C40CF" w:rsidP="00D5411B">
      <w:pPr>
        <w:pStyle w:val="Heading1"/>
      </w:pPr>
      <w:r w:rsidRPr="0033546E">
        <w:rPr>
          <w:lang w:val="en-CA"/>
        </w:rPr>
        <w:lastRenderedPageBreak/>
        <w:br/>
      </w:r>
      <w:r w:rsidRPr="0033546E">
        <w:t>Other Buyer and Seller Covenants</w:t>
      </w:r>
    </w:p>
    <w:p w14:paraId="2BAF2E69" w14:textId="77777777" w:rsidR="00F51FE1" w:rsidRPr="00081AFF" w:rsidRDefault="001C40CF" w:rsidP="00072107">
      <w:pPr>
        <w:pStyle w:val="Heading2"/>
        <w:keepNext/>
        <w:rPr>
          <w:lang w:val="en-CA"/>
        </w:rPr>
      </w:pPr>
      <w:r w:rsidRPr="00081AFF">
        <w:rPr>
          <w:lang w:val="en-CA"/>
        </w:rPr>
        <w:t>Seller’s and Buyer’s Duty to Take Action to Allow the Utilization of the Product</w:t>
      </w:r>
    </w:p>
    <w:p w14:paraId="7A944490" w14:textId="01E4654D" w:rsidR="00F51FE1" w:rsidRPr="00081AFF" w:rsidRDefault="001C40CF" w:rsidP="00E60878">
      <w:pPr>
        <w:pStyle w:val="BodyTextLeft"/>
        <w:jc w:val="left"/>
        <w:rPr>
          <w:szCs w:val="24"/>
        </w:rPr>
      </w:pPr>
      <w:r w:rsidRPr="00081AFF">
        <w:t>Buyer and Seller shall, throughout the Delivery Period, take commercially reasonable actions</w:t>
      </w:r>
      <w:r w:rsidR="00C47FBD">
        <w:t xml:space="preserve"> </w:t>
      </w:r>
      <w:r w:rsidR="00404032">
        <w:t xml:space="preserve">(including the </w:t>
      </w:r>
      <w:r w:rsidRPr="00081AFF">
        <w:t>execut</w:t>
      </w:r>
      <w:r w:rsidR="00404032">
        <w:t>ion</w:t>
      </w:r>
      <w:r w:rsidRPr="00081AFF">
        <w:t xml:space="preserve"> </w:t>
      </w:r>
      <w:r w:rsidR="00404032">
        <w:t>of</w:t>
      </w:r>
      <w:r w:rsidRPr="00081AFF">
        <w:t xml:space="preserve"> documents or instruments</w:t>
      </w:r>
      <w:r w:rsidR="00404032">
        <w:t>)</w:t>
      </w:r>
      <w:r w:rsidRPr="00081AFF">
        <w:t xml:space="preserve"> reasonably necessary to ensure Buyer’s right to the use of the Contract Quantity on each day during the Delivery Period for the sole benefit of Buyer or any applicable subsequent p</w:t>
      </w:r>
      <w:r w:rsidR="000114FE">
        <w:t>urchaser pursuant to Section 2.7</w:t>
      </w:r>
      <w:r w:rsidRPr="00081AFF">
        <w:t xml:space="preserve">.  The Parties shall </w:t>
      </w:r>
      <w:r w:rsidR="00C47FBD">
        <w:t>make commercially reasonable</w:t>
      </w:r>
      <w:r w:rsidRPr="00081AFF">
        <w:t xml:space="preserve"> changes to this Confirmation necessary to conform this Transaction to subsequent clarifications, revisions, or decisions rendered by the CPUC, FERC, CAISO or other Governmental Body having jurisdiction to administer Compliance Obligations</w:t>
      </w:r>
      <w:r w:rsidR="00AD68BE">
        <w:t xml:space="preserve">. </w:t>
      </w:r>
    </w:p>
    <w:p w14:paraId="25174106" w14:textId="77777777" w:rsidR="00F51FE1" w:rsidRPr="00081AFF" w:rsidRDefault="001C40CF" w:rsidP="00072107">
      <w:pPr>
        <w:pStyle w:val="Heading2"/>
        <w:keepNext/>
        <w:jc w:val="left"/>
        <w:rPr>
          <w:lang w:val="en-CA"/>
        </w:rPr>
      </w:pPr>
      <w:r w:rsidRPr="00081AFF">
        <w:rPr>
          <w:lang w:val="en-CA"/>
        </w:rPr>
        <w:t>Representations, Warranties and Covenants</w:t>
      </w:r>
    </w:p>
    <w:p w14:paraId="08264EA3" w14:textId="77777777" w:rsidR="00F51FE1" w:rsidRPr="00081AFF" w:rsidRDefault="001C40CF" w:rsidP="00E60878">
      <w:pPr>
        <w:pStyle w:val="Heading3"/>
        <w:jc w:val="left"/>
        <w:rPr>
          <w:lang w:val="en-CA"/>
        </w:rPr>
      </w:pPr>
      <w:r w:rsidRPr="00081AFF">
        <w:rPr>
          <w:lang w:val="en-CA"/>
        </w:rPr>
        <w:t>Seller represents and warrants to Buyer throughout the Delivery Period that:</w:t>
      </w:r>
    </w:p>
    <w:p w14:paraId="40A37352" w14:textId="77777777" w:rsidR="00F51FE1" w:rsidRPr="00081AFF" w:rsidRDefault="001C40CF" w:rsidP="00E60878">
      <w:pPr>
        <w:pStyle w:val="Heading4"/>
        <w:jc w:val="left"/>
        <w:rPr>
          <w:lang w:val="en-CA"/>
        </w:rPr>
      </w:pPr>
      <w:bookmarkStart w:id="9" w:name="_Ref144206425"/>
      <w:r w:rsidRPr="00081AFF">
        <w:rPr>
          <w:lang w:val="en-CA"/>
        </w:rPr>
        <w:t xml:space="preserve">no portion of the Contract Quantity for any day during the Delivery Period has been committed by Seller to any third party in order to satisfy Compliance Obligations or analogous obligations in any CAISO or non-CAISO markets; </w:t>
      </w:r>
      <w:bookmarkEnd w:id="9"/>
    </w:p>
    <w:p w14:paraId="598BDBCB" w14:textId="77777777" w:rsidR="00F51FE1" w:rsidRPr="00081AFF" w:rsidRDefault="001C40CF" w:rsidP="00E60878">
      <w:pPr>
        <w:pStyle w:val="Heading4"/>
        <w:jc w:val="left"/>
        <w:rPr>
          <w:lang w:val="en-CA"/>
        </w:rPr>
      </w:pPr>
      <w:r w:rsidRPr="00081AFF">
        <w:rPr>
          <w:lang w:val="en-CA"/>
        </w:rPr>
        <w:t xml:space="preserve">the Unit is connected to the CAISO Controlled Grid, is within the CAISO Control Area, and is under the control of CAISO;  </w:t>
      </w:r>
    </w:p>
    <w:p w14:paraId="657BCDC4" w14:textId="77777777" w:rsidR="00F51FE1" w:rsidRPr="00081AFF" w:rsidRDefault="001C40CF" w:rsidP="00E60878">
      <w:pPr>
        <w:pStyle w:val="Heading4"/>
        <w:jc w:val="left"/>
        <w:rPr>
          <w:lang w:val="en-CA"/>
        </w:rPr>
      </w:pPr>
      <w:r w:rsidRPr="00081AFF">
        <w:rPr>
          <w:lang w:val="en-CA"/>
        </w:rPr>
        <w:t>each Unit’s S</w:t>
      </w:r>
      <w:r w:rsidR="00046CC1">
        <w:rPr>
          <w:lang w:val="en-CA"/>
        </w:rPr>
        <w:t xml:space="preserve">cheduling </w:t>
      </w:r>
      <w:r w:rsidRPr="00081AFF">
        <w:rPr>
          <w:lang w:val="en-CA"/>
        </w:rPr>
        <w:t>C</w:t>
      </w:r>
      <w:r w:rsidR="00046CC1">
        <w:rPr>
          <w:lang w:val="en-CA"/>
        </w:rPr>
        <w:t>oordinator</w:t>
      </w:r>
      <w:r w:rsidRPr="00081AFF">
        <w:rPr>
          <w:lang w:val="en-CA"/>
        </w:rPr>
        <w:t xml:space="preserve">, owner and operator is obligated to comply with </w:t>
      </w:r>
      <w:r w:rsidR="00A64892">
        <w:rPr>
          <w:lang w:val="en-CA"/>
        </w:rPr>
        <w:t>a</w:t>
      </w:r>
      <w:r w:rsidR="00A64892" w:rsidRPr="00081AFF">
        <w:rPr>
          <w:lang w:val="en-CA"/>
        </w:rPr>
        <w:t xml:space="preserve">pplicable </w:t>
      </w:r>
      <w:r w:rsidR="00A64892">
        <w:rPr>
          <w:lang w:val="en-CA"/>
        </w:rPr>
        <w:t>l</w:t>
      </w:r>
      <w:r w:rsidRPr="00081AFF">
        <w:rPr>
          <w:lang w:val="en-CA"/>
        </w:rPr>
        <w:t>aws, including the Tariff, relating to the Product;</w:t>
      </w:r>
    </w:p>
    <w:p w14:paraId="5991BBEE" w14:textId="77777777" w:rsidR="00F51FE1" w:rsidRPr="00081AFF" w:rsidRDefault="001C40CF" w:rsidP="00E60878">
      <w:pPr>
        <w:pStyle w:val="Heading4"/>
        <w:jc w:val="left"/>
        <w:rPr>
          <w:lang w:val="en-CA"/>
        </w:rPr>
      </w:pPr>
      <w:r w:rsidRPr="00081AFF">
        <w:rPr>
          <w:lang w:val="en-CA"/>
        </w:rPr>
        <w:t xml:space="preserve">if Seller is the owner of the Unit, the aggregation of all amounts of Capacity Attributes that Seller has sold, assigned or transferred for the Unit for each day included in the Delivery Period does not exceed the Unit NQC and, if applicable, the Unit EFC, for that Unit; </w:t>
      </w:r>
      <w:r w:rsidR="004055FE">
        <w:rPr>
          <w:lang w:val="en-CA"/>
        </w:rPr>
        <w:t>and</w:t>
      </w:r>
    </w:p>
    <w:p w14:paraId="46E39099" w14:textId="77777777" w:rsidR="00F51FE1" w:rsidRPr="00081AFF" w:rsidRDefault="001C40CF" w:rsidP="00E60878">
      <w:pPr>
        <w:pStyle w:val="Heading4"/>
        <w:jc w:val="left"/>
        <w:rPr>
          <w:lang w:val="en-CA"/>
        </w:rPr>
      </w:pPr>
      <w:r w:rsidRPr="00081AFF">
        <w:rPr>
          <w:lang w:val="en-CA"/>
        </w:rPr>
        <w:t>Seller has notified either the S</w:t>
      </w:r>
      <w:r w:rsidR="00046CC1">
        <w:rPr>
          <w:lang w:val="en-CA"/>
        </w:rPr>
        <w:t xml:space="preserve">cheduling </w:t>
      </w:r>
      <w:r w:rsidRPr="00081AFF">
        <w:rPr>
          <w:lang w:val="en-CA"/>
        </w:rPr>
        <w:t>C</w:t>
      </w:r>
      <w:r w:rsidR="00046CC1">
        <w:rPr>
          <w:lang w:val="en-CA"/>
        </w:rPr>
        <w:t>oordinator</w:t>
      </w:r>
      <w:r w:rsidRPr="00081AFF">
        <w:rPr>
          <w:lang w:val="en-CA"/>
        </w:rPr>
        <w:t xml:space="preserve"> of the Unit or the entity from which Seller purchased the Product of the fact that Seller has transferred the Contract Quantity for each day of the Delivery Period to Buyer</w:t>
      </w:r>
      <w:r w:rsidR="002752DE">
        <w:rPr>
          <w:lang w:val="en-CA"/>
        </w:rPr>
        <w:t>, or, if applicable, to a subsequent purchaser</w:t>
      </w:r>
      <w:r w:rsidR="004055FE">
        <w:rPr>
          <w:lang w:val="en-CA"/>
        </w:rPr>
        <w:t>.</w:t>
      </w:r>
    </w:p>
    <w:p w14:paraId="232F1015" w14:textId="77777777" w:rsidR="00F51FE1" w:rsidRPr="00081AFF" w:rsidRDefault="001C40CF" w:rsidP="00E60878">
      <w:pPr>
        <w:pStyle w:val="Heading3"/>
        <w:jc w:val="left"/>
        <w:rPr>
          <w:lang w:val="en-CA"/>
        </w:rPr>
      </w:pPr>
      <w:r w:rsidRPr="00081AFF">
        <w:rPr>
          <w:lang w:val="en-CA"/>
        </w:rPr>
        <w:t>Seller represents and warrants to Buyer as of the date of the relevant Compliance Showing, that Seller owns or has the exclusive right to the Product sold under this Confirmation from the Unit;</w:t>
      </w:r>
    </w:p>
    <w:p w14:paraId="5F88A894" w14:textId="77777777" w:rsidR="00F51FE1" w:rsidRPr="00081AFF" w:rsidRDefault="001C40CF" w:rsidP="00072107">
      <w:pPr>
        <w:pStyle w:val="Heading3"/>
        <w:keepNext/>
        <w:jc w:val="left"/>
        <w:rPr>
          <w:lang w:val="en-CA"/>
        </w:rPr>
      </w:pPr>
      <w:r w:rsidRPr="00081AFF">
        <w:rPr>
          <w:lang w:val="en-CA"/>
        </w:rPr>
        <w:t>Seller covenants as follows:</w:t>
      </w:r>
    </w:p>
    <w:p w14:paraId="18B82363" w14:textId="1C29D7B7" w:rsidR="00A434C2" w:rsidRDefault="001C40CF" w:rsidP="00E60878">
      <w:pPr>
        <w:pStyle w:val="Heading4"/>
        <w:widowControl w:val="0"/>
        <w:jc w:val="left"/>
        <w:rPr>
          <w:lang w:val="en-CA"/>
        </w:rPr>
      </w:pPr>
      <w:r w:rsidRPr="00B01B54">
        <w:rPr>
          <w:lang w:val="en-CA"/>
        </w:rPr>
        <w:t>Seller shall not</w:t>
      </w:r>
      <w:r w:rsidR="00B86B8F">
        <w:rPr>
          <w:lang w:val="en-CA"/>
        </w:rPr>
        <w:t xml:space="preserve"> offer</w:t>
      </w:r>
      <w:r w:rsidRPr="00B01B54">
        <w:rPr>
          <w:lang w:val="en-CA"/>
        </w:rPr>
        <w:t xml:space="preserve">, and shall </w:t>
      </w:r>
      <w:r w:rsidR="0071776C">
        <w:rPr>
          <w:lang w:val="en-CA"/>
        </w:rPr>
        <w:t>ensure that</w:t>
      </w:r>
      <w:r w:rsidRPr="00B01B54">
        <w:rPr>
          <w:lang w:val="en-CA"/>
        </w:rPr>
        <w:t xml:space="preserve"> the Unit’s S</w:t>
      </w:r>
      <w:r w:rsidR="00046CC1">
        <w:rPr>
          <w:lang w:val="en-CA"/>
        </w:rPr>
        <w:t xml:space="preserve">cheduling </w:t>
      </w:r>
      <w:r w:rsidRPr="00B01B54">
        <w:rPr>
          <w:lang w:val="en-CA"/>
        </w:rPr>
        <w:t>C</w:t>
      </w:r>
      <w:r w:rsidR="00D51E39">
        <w:rPr>
          <w:lang w:val="en-CA"/>
        </w:rPr>
        <w:t>oordinator</w:t>
      </w:r>
      <w:r w:rsidRPr="00B01B54">
        <w:rPr>
          <w:lang w:val="en-CA"/>
        </w:rPr>
        <w:t xml:space="preserve"> </w:t>
      </w:r>
      <w:r w:rsidR="0071776C">
        <w:rPr>
          <w:lang w:val="en-CA"/>
        </w:rPr>
        <w:t>does not</w:t>
      </w:r>
      <w:r w:rsidR="0071776C" w:rsidRPr="00B01B54">
        <w:rPr>
          <w:lang w:val="en-CA"/>
        </w:rPr>
        <w:t xml:space="preserve"> </w:t>
      </w:r>
      <w:r w:rsidRPr="00B01B54">
        <w:rPr>
          <w:lang w:val="en-CA"/>
        </w:rPr>
        <w:t>offer</w:t>
      </w:r>
      <w:r w:rsidR="00B86B8F">
        <w:rPr>
          <w:lang w:val="en-CA"/>
        </w:rPr>
        <w:t>,</w:t>
      </w:r>
      <w:r w:rsidRPr="00B01B54">
        <w:rPr>
          <w:lang w:val="en-CA"/>
        </w:rPr>
        <w:t xml:space="preserve"> any portion of the Contract Quantity for any day during the Delivery Period to CAISO as </w:t>
      </w:r>
      <w:r w:rsidR="00996893">
        <w:rPr>
          <w:lang w:val="en-CA"/>
        </w:rPr>
        <w:t xml:space="preserve">either </w:t>
      </w:r>
      <w:r w:rsidRPr="00B01B54">
        <w:rPr>
          <w:lang w:val="en-CA"/>
        </w:rPr>
        <w:t>CPM Capacity</w:t>
      </w:r>
      <w:r w:rsidR="00996893">
        <w:rPr>
          <w:lang w:val="en-CA"/>
        </w:rPr>
        <w:t xml:space="preserve"> or RMR </w:t>
      </w:r>
      <w:r w:rsidR="00BC17E4">
        <w:rPr>
          <w:lang w:val="en-CA"/>
        </w:rPr>
        <w:t>Generation</w:t>
      </w:r>
      <w:r w:rsidRPr="00B01B54">
        <w:rPr>
          <w:lang w:val="en-CA"/>
        </w:rPr>
        <w:t xml:space="preserve">.  However, if CAISO designates any portion of the Contract </w:t>
      </w:r>
      <w:r w:rsidRPr="00B01B54">
        <w:rPr>
          <w:lang w:val="en-CA"/>
        </w:rPr>
        <w:lastRenderedPageBreak/>
        <w:t>Capacity as CPM Capacity</w:t>
      </w:r>
      <w:r w:rsidR="00BC17E4">
        <w:rPr>
          <w:lang w:val="en-CA"/>
        </w:rPr>
        <w:t xml:space="preserve"> or RMR Generation</w:t>
      </w:r>
      <w:r w:rsidRPr="00B01B54">
        <w:rPr>
          <w:lang w:val="en-CA"/>
        </w:rPr>
        <w:t>, then Seller shall</w:t>
      </w:r>
      <w:r w:rsidR="00B86B8F">
        <w:rPr>
          <w:lang w:val="en-CA"/>
        </w:rPr>
        <w:t xml:space="preserve"> promptly notify Buyer</w:t>
      </w:r>
      <w:r w:rsidRPr="00B01B54">
        <w:rPr>
          <w:lang w:val="en-CA"/>
        </w:rPr>
        <w:t xml:space="preserve">, </w:t>
      </w:r>
      <w:r w:rsidR="00B86B8F">
        <w:rPr>
          <w:lang w:val="en-CA"/>
        </w:rPr>
        <w:t>or</w:t>
      </w:r>
      <w:r w:rsidRPr="00B01B54">
        <w:rPr>
          <w:lang w:val="en-CA"/>
        </w:rPr>
        <w:t xml:space="preserve"> shall cause the Unit’s S</w:t>
      </w:r>
      <w:r w:rsidR="00D51E39">
        <w:rPr>
          <w:lang w:val="en-CA"/>
        </w:rPr>
        <w:t xml:space="preserve">cheduling </w:t>
      </w:r>
      <w:r w:rsidRPr="00B01B54">
        <w:rPr>
          <w:lang w:val="en-CA"/>
        </w:rPr>
        <w:t>C</w:t>
      </w:r>
      <w:r w:rsidR="00D51E39">
        <w:rPr>
          <w:lang w:val="en-CA"/>
        </w:rPr>
        <w:t>oordinator</w:t>
      </w:r>
      <w:r w:rsidRPr="00B01B54">
        <w:rPr>
          <w:lang w:val="en-CA"/>
        </w:rPr>
        <w:t xml:space="preserve"> to promptly </w:t>
      </w:r>
      <w:r w:rsidR="00B86B8F">
        <w:rPr>
          <w:lang w:val="en-CA"/>
        </w:rPr>
        <w:t>notify Buyer</w:t>
      </w:r>
      <w:r w:rsidRPr="00B01B54">
        <w:rPr>
          <w:lang w:val="en-CA"/>
        </w:rPr>
        <w:t xml:space="preserve"> within one</w:t>
      </w:r>
      <w:r w:rsidR="006A6A5F">
        <w:rPr>
          <w:lang w:val="en-CA"/>
        </w:rPr>
        <w:t xml:space="preserve"> (</w:t>
      </w:r>
      <w:r w:rsidR="006A6A5F" w:rsidRPr="00B01B54">
        <w:rPr>
          <w:lang w:val="en-CA"/>
        </w:rPr>
        <w:t>1</w:t>
      </w:r>
      <w:r w:rsidR="006A6A5F">
        <w:rPr>
          <w:lang w:val="en-CA"/>
        </w:rPr>
        <w:t>) </w:t>
      </w:r>
      <w:r w:rsidR="006A6A5F" w:rsidRPr="00B01B54">
        <w:rPr>
          <w:lang w:val="en-CA"/>
        </w:rPr>
        <w:t>B</w:t>
      </w:r>
      <w:r w:rsidRPr="00B01B54">
        <w:rPr>
          <w:lang w:val="en-CA"/>
        </w:rPr>
        <w:t>usiness Day of the time Seller receives notification from CAISO</w:t>
      </w:r>
      <w:r w:rsidR="00B86B8F">
        <w:rPr>
          <w:lang w:val="en-CA"/>
        </w:rPr>
        <w:t>.</w:t>
      </w:r>
      <w:r w:rsidR="001D0BF4">
        <w:rPr>
          <w:lang w:val="en-CA"/>
        </w:rPr>
        <w:t xml:space="preserve"> </w:t>
      </w:r>
      <w:r w:rsidR="00B86B8F">
        <w:rPr>
          <w:lang w:val="en-CA"/>
        </w:rPr>
        <w:t>I</w:t>
      </w:r>
      <w:r w:rsidRPr="00B01B54">
        <w:rPr>
          <w:lang w:val="en-CA"/>
        </w:rPr>
        <w:t xml:space="preserve">f CAISO makes such a designation, </w:t>
      </w:r>
      <w:r w:rsidR="00B86B8F">
        <w:rPr>
          <w:lang w:val="en-CA"/>
        </w:rPr>
        <w:t xml:space="preserve">Seller </w:t>
      </w:r>
      <w:r w:rsidRPr="00B01B54">
        <w:rPr>
          <w:lang w:val="en-CA"/>
        </w:rPr>
        <w:t>shall</w:t>
      </w:r>
      <w:r w:rsidR="00B86B8F">
        <w:rPr>
          <w:lang w:val="en-CA"/>
        </w:rPr>
        <w:t xml:space="preserve"> not accept</w:t>
      </w:r>
      <w:r w:rsidRPr="00B01B54">
        <w:rPr>
          <w:lang w:val="en-CA"/>
        </w:rPr>
        <w:t xml:space="preserve">, and shall </w:t>
      </w:r>
      <w:r w:rsidR="0071776C">
        <w:rPr>
          <w:lang w:val="en-CA"/>
        </w:rPr>
        <w:t>ensure that</w:t>
      </w:r>
      <w:r w:rsidR="0071776C" w:rsidRPr="00B01B54">
        <w:rPr>
          <w:lang w:val="en-CA"/>
        </w:rPr>
        <w:t xml:space="preserve"> </w:t>
      </w:r>
      <w:r w:rsidRPr="00B01B54">
        <w:rPr>
          <w:lang w:val="en-CA"/>
        </w:rPr>
        <w:t>the Unit’s S</w:t>
      </w:r>
      <w:r w:rsidR="00D51E39">
        <w:rPr>
          <w:lang w:val="en-CA"/>
        </w:rPr>
        <w:t xml:space="preserve">cheduling </w:t>
      </w:r>
      <w:r w:rsidRPr="00B01B54">
        <w:rPr>
          <w:lang w:val="en-CA"/>
        </w:rPr>
        <w:t>C</w:t>
      </w:r>
      <w:r w:rsidR="00D51E39">
        <w:rPr>
          <w:lang w:val="en-CA"/>
        </w:rPr>
        <w:t>oordinator</w:t>
      </w:r>
      <w:r w:rsidRPr="00B01B54">
        <w:rPr>
          <w:lang w:val="en-CA"/>
        </w:rPr>
        <w:t xml:space="preserve"> </w:t>
      </w:r>
      <w:r w:rsidR="0071776C">
        <w:rPr>
          <w:lang w:val="en-CA"/>
        </w:rPr>
        <w:t>does</w:t>
      </w:r>
      <w:r w:rsidR="0071776C" w:rsidRPr="00B01B54">
        <w:rPr>
          <w:lang w:val="en-CA"/>
        </w:rPr>
        <w:t xml:space="preserve"> </w:t>
      </w:r>
      <w:r w:rsidRPr="00B01B54">
        <w:rPr>
          <w:lang w:val="en-CA"/>
        </w:rPr>
        <w:t>not accept</w:t>
      </w:r>
      <w:r w:rsidR="00B86B8F">
        <w:rPr>
          <w:lang w:val="en-CA"/>
        </w:rPr>
        <w:t>,</w:t>
      </w:r>
      <w:r w:rsidRPr="00B01B54">
        <w:rPr>
          <w:lang w:val="en-CA"/>
        </w:rPr>
        <w:t xml:space="preserve"> any such designation by CAISO unless and until Buyer has agreed to accept such designation</w:t>
      </w:r>
      <w:r w:rsidR="00DE08BF">
        <w:rPr>
          <w:lang w:val="en-CA"/>
        </w:rPr>
        <w:t xml:space="preserve">.  </w:t>
      </w:r>
      <w:bookmarkStart w:id="10" w:name="_Hlk87280095"/>
      <w:r w:rsidR="00DE08BF" w:rsidRPr="00510AD0">
        <w:t xml:space="preserve">Seller shall not submit, and shall not permit the </w:t>
      </w:r>
      <w:r w:rsidR="00DE08BF">
        <w:t xml:space="preserve">Unit’s Scheduling Coordinator </w:t>
      </w:r>
      <w:r w:rsidR="00DE08BF" w:rsidRPr="00510AD0">
        <w:t xml:space="preserve">to submit, a notice of its intent to retire or mothball the </w:t>
      </w:r>
      <w:r w:rsidR="00DE08BF">
        <w:t>Unit</w:t>
      </w:r>
      <w:r w:rsidR="00DE08BF" w:rsidRPr="00510AD0">
        <w:t xml:space="preserve"> under the CAISO Tariff where the effective date for the retirement or mothball is prior to the end of the Delivery </w:t>
      </w:r>
      <w:r w:rsidR="007D3AC4">
        <w:t>Period</w:t>
      </w:r>
      <w:bookmarkEnd w:id="10"/>
      <w:r>
        <w:rPr>
          <w:lang w:val="en-CA"/>
        </w:rPr>
        <w:t>; and</w:t>
      </w:r>
    </w:p>
    <w:p w14:paraId="6B325CD6" w14:textId="4A51617D" w:rsidR="00F51FE1" w:rsidRDefault="001C40CF" w:rsidP="00E60878">
      <w:pPr>
        <w:pStyle w:val="Heading4"/>
        <w:widowControl w:val="0"/>
        <w:jc w:val="left"/>
        <w:rPr>
          <w:lang w:val="en-CA"/>
        </w:rPr>
      </w:pPr>
      <w:r w:rsidRPr="00081AFF">
        <w:rPr>
          <w:lang w:val="en-CA"/>
        </w:rPr>
        <w:t xml:space="preserve">Seller shall, upon request, furnish Buyer, CAISO, CPUC or other applicable Governmental Body evidence that its </w:t>
      </w:r>
      <w:r>
        <w:rPr>
          <w:lang w:val="en-CA"/>
        </w:rPr>
        <w:t>representation made in Section 5</w:t>
      </w:r>
      <w:r w:rsidRPr="00081AFF">
        <w:rPr>
          <w:lang w:val="en-CA"/>
        </w:rPr>
        <w:t>.2(c)</w:t>
      </w:r>
      <w:r>
        <w:rPr>
          <w:lang w:val="en-CA"/>
        </w:rPr>
        <w:t>(i)</w:t>
      </w:r>
      <w:r w:rsidRPr="00081AFF">
        <w:rPr>
          <w:lang w:val="en-CA"/>
        </w:rPr>
        <w:t xml:space="preserve"> is true and correct</w:t>
      </w:r>
      <w:r w:rsidR="0050627D">
        <w:rPr>
          <w:lang w:val="en-CA"/>
        </w:rPr>
        <w:t>.</w:t>
      </w:r>
    </w:p>
    <w:p w14:paraId="06206FB6" w14:textId="77777777" w:rsidR="003F5DED" w:rsidRDefault="001C40CF" w:rsidP="00E60878">
      <w:pPr>
        <w:pStyle w:val="Heading3"/>
        <w:jc w:val="left"/>
        <w:rPr>
          <w:lang w:val="en-CA"/>
        </w:rPr>
      </w:pPr>
      <w:r>
        <w:rPr>
          <w:lang w:val="en-CA"/>
        </w:rPr>
        <w:t>Each Party covenants to the other Party throughout the Delivery Period to comply with the Tariff, relating to the Product.</w:t>
      </w:r>
    </w:p>
    <w:p w14:paraId="256A573C" w14:textId="77777777" w:rsidR="00C77FA3" w:rsidRDefault="001C40CF" w:rsidP="00072107">
      <w:pPr>
        <w:pStyle w:val="Heading2"/>
        <w:keepNext/>
      </w:pPr>
      <w:r>
        <w:t xml:space="preserve">Counterparts </w:t>
      </w:r>
    </w:p>
    <w:p w14:paraId="7BA16286" w14:textId="77777777" w:rsidR="00C77FA3" w:rsidRDefault="001C40CF" w:rsidP="00C77FA3">
      <w:pPr>
        <w:pStyle w:val="BodyTextLeft"/>
      </w:pPr>
      <w:r>
        <w:t>This Confirmation may be executed in counterparts, each of which shall be deemed an original, but all of which together shall constitute one and the same instrument. Counterparts may be delivered by electronic mail (including pdf or any electronic signature complying with the federal ESIGN Act of 2000, California’s Uniform Electronic Transactions Act (Cal. Civ. Code Section 1633.1, et seq.) or other applicable law) or other transmission method and any other counterpart so delivered shall have the same legal effect as an original.</w:t>
      </w:r>
    </w:p>
    <w:p w14:paraId="794DA4B0" w14:textId="77777777" w:rsidR="00F51FE1" w:rsidRPr="0033546E" w:rsidRDefault="001C40CF" w:rsidP="00D5411B">
      <w:pPr>
        <w:pStyle w:val="Heading1"/>
      </w:pPr>
      <w:r w:rsidRPr="0033546E">
        <w:rPr>
          <w:lang w:val="en-CA"/>
        </w:rPr>
        <w:br/>
      </w:r>
      <w:r w:rsidRPr="0033546E">
        <w:t>Confidentiality</w:t>
      </w:r>
    </w:p>
    <w:p w14:paraId="32B3F770" w14:textId="0C55616D" w:rsidR="00273B6F" w:rsidRPr="00273B6F" w:rsidRDefault="001C40CF" w:rsidP="00E60878">
      <w:pPr>
        <w:pStyle w:val="BodyTextLeft"/>
        <w:jc w:val="left"/>
        <w:rPr>
          <w:b/>
          <w:i/>
        </w:rPr>
      </w:pPr>
      <w:r w:rsidRPr="00081AFF">
        <w:t>Notwithstanding Section 10.11 of the Master Agreement, the Parties may disclose all terms and conditions of this Transaction to any Governmental Body, the CPUC, CAISO and the Procurement Review Group, and Seller may disclose the transfer of the Contract Quantity for each day during the Delivery Period under this Transaction to the S</w:t>
      </w:r>
      <w:r w:rsidR="00D51E39">
        <w:t xml:space="preserve">cheduling </w:t>
      </w:r>
      <w:r w:rsidRPr="00081AFF">
        <w:t>C</w:t>
      </w:r>
      <w:r w:rsidR="00D51E39">
        <w:t>oordinator</w:t>
      </w:r>
      <w:r w:rsidRPr="00081AFF">
        <w:t xml:space="preserve"> of the Unit in order for such S</w:t>
      </w:r>
      <w:r w:rsidR="00D51E39">
        <w:t xml:space="preserve">cheduling </w:t>
      </w:r>
      <w:r w:rsidRPr="00081AFF">
        <w:t>C</w:t>
      </w:r>
      <w:r w:rsidR="00D51E39">
        <w:t>oordinator</w:t>
      </w:r>
      <w:r w:rsidRPr="00081AFF">
        <w:t xml:space="preserve"> to</w:t>
      </w:r>
      <w:r w:rsidR="00F07220">
        <w:t xml:space="preserve"> </w:t>
      </w:r>
      <w:r w:rsidR="00ED4898">
        <w:t>timely submit accurate Supply Plans.</w:t>
      </w:r>
      <w:r w:rsidRPr="00081AFF">
        <w:t xml:space="preserve">  Each disclosing Party shall use reasonable efforts to limit, to the extent possible, the ability of any such applicable Governmental Body, CAISO, or S</w:t>
      </w:r>
      <w:r w:rsidR="00D51E39">
        <w:t xml:space="preserve">cheduling </w:t>
      </w:r>
      <w:r w:rsidRPr="00081AFF">
        <w:t>C</w:t>
      </w:r>
      <w:r w:rsidR="00D51E39">
        <w:t>oordinator</w:t>
      </w:r>
      <w:r w:rsidRPr="00081AFF">
        <w:t xml:space="preserve"> to further disclose information disclosed pursuant to this Article.  In addition, if Buyer resells all or any portion of the Contract Quantity for any day during the Delivery Period to another party, Buyer shall be permitted to disclose to the purchaser of the Resold Product all such information necessary to effect such resale transaction, other than the Contract Price.</w:t>
      </w:r>
    </w:p>
    <w:p w14:paraId="3D285523" w14:textId="0C22CC82" w:rsidR="00F51FE1" w:rsidRPr="0033546E" w:rsidRDefault="001C40CF" w:rsidP="00D5411B">
      <w:pPr>
        <w:pStyle w:val="Heading1"/>
      </w:pPr>
      <w:r w:rsidRPr="0033546E">
        <w:rPr>
          <w:lang w:val="en-CA"/>
        </w:rPr>
        <w:lastRenderedPageBreak/>
        <w:br/>
      </w:r>
      <w:r w:rsidR="00581584">
        <w:t>[RESERVED]</w:t>
      </w:r>
    </w:p>
    <w:p w14:paraId="09EA7088" w14:textId="77777777" w:rsidR="00F51FE1" w:rsidRPr="0033546E" w:rsidRDefault="001C40CF" w:rsidP="00D5411B">
      <w:pPr>
        <w:pStyle w:val="Heading1"/>
      </w:pPr>
      <w:r w:rsidRPr="0033546E">
        <w:rPr>
          <w:lang w:val="en-CA"/>
        </w:rPr>
        <w:br/>
      </w:r>
      <w:r w:rsidRPr="0033546E">
        <w:t>Collateral Requirements</w:t>
      </w:r>
    </w:p>
    <w:p w14:paraId="01EBC197" w14:textId="5E170B67" w:rsidR="00F51FE1" w:rsidRDefault="001C40CF" w:rsidP="00072107">
      <w:pPr>
        <w:pStyle w:val="Heading2"/>
        <w:keepNext/>
        <w:jc w:val="left"/>
        <w:rPr>
          <w:lang w:val="en-CA"/>
        </w:rPr>
      </w:pPr>
      <w:r>
        <w:rPr>
          <w:lang w:val="en-CA"/>
        </w:rPr>
        <w:t>Party A</w:t>
      </w:r>
      <w:r w:rsidRPr="00081AFF">
        <w:rPr>
          <w:lang w:val="en-CA"/>
        </w:rPr>
        <w:t xml:space="preserve"> Collateral Requirements</w:t>
      </w:r>
    </w:p>
    <w:p w14:paraId="25529682" w14:textId="7E7C4251" w:rsidR="00D5411B" w:rsidRPr="00BB18AA" w:rsidRDefault="001C40CF" w:rsidP="00D5411B">
      <w:pPr>
        <w:pStyle w:val="pf0"/>
      </w:pPr>
      <w:r w:rsidRPr="004A59B5">
        <w:t xml:space="preserve">For the purposes of calculating the Collateral Requirement pursuant to Section 8.2 of the Master Agreement, entitled “Party B </w:t>
      </w:r>
      <w:r w:rsidRPr="00BB18AA">
        <w:t xml:space="preserve">Credit Protection”, and all corresponding provisions to Section 8.2 of the Master Agreement, </w:t>
      </w:r>
      <w:r w:rsidR="00D5411B" w:rsidRPr="00BB18AA">
        <w:t xml:space="preserve">the Exposure Amount for this </w:t>
      </w:r>
      <w:r w:rsidR="001E2E5A">
        <w:t>T</w:t>
      </w:r>
      <w:r w:rsidR="00D5411B" w:rsidRPr="00BB18AA">
        <w:t xml:space="preserve">ransaction will be equal to [insert amount equal to </w:t>
      </w:r>
      <w:bookmarkStart w:id="11" w:name="_Hlk129779980"/>
      <w:r w:rsidR="00D5411B" w:rsidRPr="00BB18AA">
        <w:t xml:space="preserve">the following: </w:t>
      </w:r>
      <w:r w:rsidR="00D5411B" w:rsidRPr="00BB18AA">
        <w:rPr>
          <w:rStyle w:val="cf01"/>
          <w:rFonts w:ascii="Times New Roman" w:hAnsi="Times New Roman" w:cs="Times New Roman"/>
          <w:sz w:val="24"/>
          <w:szCs w:val="24"/>
        </w:rPr>
        <w:t>if the Delivery Term is &lt;=3 years, 20% of the sum of the highest estimated Monthly Payments for any 12 consecutive month period during the Delivery Term</w:t>
      </w:r>
      <w:r w:rsidR="00D5411B" w:rsidRPr="00BB18AA">
        <w:rPr>
          <w:rStyle w:val="cf01"/>
          <w:rFonts w:ascii="Times New Roman" w:hAnsi="Times New Roman" w:cs="Times New Roman"/>
          <w:i w:val="0"/>
          <w:iCs w:val="0"/>
          <w:sz w:val="24"/>
          <w:szCs w:val="24"/>
        </w:rPr>
        <w:t>]</w:t>
      </w:r>
      <w:r w:rsidR="00D5411B" w:rsidRPr="00BB18AA">
        <w:rPr>
          <w:b/>
          <w:bCs/>
        </w:rPr>
        <w:t xml:space="preserve"> </w:t>
      </w:r>
      <w:bookmarkEnd w:id="11"/>
      <w:r w:rsidR="00D5411B" w:rsidRPr="00BB18AA">
        <w:t xml:space="preserve">and will be added to the Exposure </w:t>
      </w:r>
      <w:r w:rsidR="001E2E5A">
        <w:t xml:space="preserve">Amount </w:t>
      </w:r>
      <w:r w:rsidR="00D5411B" w:rsidRPr="00BB18AA">
        <w:t>for Party B and subtracted from the Exposure Amount for Party A.</w:t>
      </w:r>
    </w:p>
    <w:p w14:paraId="1A2E09C6" w14:textId="7C0FCB16" w:rsidR="00F51FE1" w:rsidRPr="00BB18AA" w:rsidRDefault="001C40CF" w:rsidP="00072107">
      <w:pPr>
        <w:pStyle w:val="Heading2"/>
        <w:keepNext/>
        <w:jc w:val="left"/>
        <w:rPr>
          <w:szCs w:val="24"/>
          <w:lang w:val="en-CA"/>
        </w:rPr>
      </w:pPr>
      <w:r w:rsidRPr="00BB18AA">
        <w:rPr>
          <w:szCs w:val="24"/>
        </w:rPr>
        <w:t>Party B Collateral Requirements</w:t>
      </w:r>
    </w:p>
    <w:p w14:paraId="73399F9B" w14:textId="680D0AA0" w:rsidR="00F51FE1" w:rsidRPr="00BB18AA" w:rsidRDefault="001C40CF" w:rsidP="00E60878">
      <w:pPr>
        <w:pStyle w:val="BodyTextLeft"/>
        <w:jc w:val="left"/>
        <w:rPr>
          <w:bCs/>
          <w:szCs w:val="24"/>
        </w:rPr>
      </w:pPr>
      <w:r w:rsidRPr="00BB18AA">
        <w:rPr>
          <w:szCs w:val="24"/>
        </w:rPr>
        <w:t>Section 8.1 of the Master Agreement, entitled “Party A Credit Protection”, and all corresponding provisions to Section 8.1 of the Master Agreement do not apply to this Confirmation</w:t>
      </w:r>
      <w:r w:rsidRPr="00BB18AA">
        <w:rPr>
          <w:bCs/>
          <w:szCs w:val="24"/>
        </w:rPr>
        <w:t>.</w:t>
      </w:r>
      <w:r w:rsidR="009B37AF" w:rsidRPr="00BB18AA">
        <w:rPr>
          <w:bCs/>
          <w:szCs w:val="24"/>
        </w:rPr>
        <w:t xml:space="preserve"> </w:t>
      </w:r>
    </w:p>
    <w:p w14:paraId="18E05BEC" w14:textId="77777777" w:rsidR="00F51FE1" w:rsidRPr="00BB18AA" w:rsidRDefault="001C40CF" w:rsidP="00D5411B">
      <w:pPr>
        <w:pStyle w:val="Heading1"/>
        <w:rPr>
          <w:szCs w:val="24"/>
        </w:rPr>
      </w:pPr>
      <w:r w:rsidRPr="00BB18AA">
        <w:rPr>
          <w:szCs w:val="24"/>
          <w:lang w:val="en-CA"/>
        </w:rPr>
        <w:br/>
      </w:r>
      <w:r w:rsidRPr="00BB18AA">
        <w:rPr>
          <w:szCs w:val="24"/>
        </w:rPr>
        <w:t>ADDITIOnAL MASTER AGREEMENT AMENDMENTS</w:t>
      </w:r>
    </w:p>
    <w:p w14:paraId="72332F6B" w14:textId="77777777" w:rsidR="00F51FE1" w:rsidRPr="00BB18AA" w:rsidRDefault="001C40CF" w:rsidP="00072107">
      <w:pPr>
        <w:pStyle w:val="Heading2"/>
        <w:keepNext/>
        <w:jc w:val="left"/>
        <w:rPr>
          <w:szCs w:val="24"/>
          <w:lang w:val="en-CA"/>
        </w:rPr>
      </w:pPr>
      <w:r w:rsidRPr="00BB18AA">
        <w:rPr>
          <w:szCs w:val="24"/>
          <w:lang w:val="en-CA"/>
        </w:rPr>
        <w:t>Declaration of an Early Termination Date and Calculation of Settlement Amounts</w:t>
      </w:r>
    </w:p>
    <w:p w14:paraId="30AF0F0A" w14:textId="77777777" w:rsidR="00F51FE1" w:rsidRPr="00BB18AA" w:rsidRDefault="001C40CF" w:rsidP="00E60878">
      <w:pPr>
        <w:pStyle w:val="BodyTextLeft"/>
        <w:jc w:val="left"/>
      </w:pPr>
      <w:r w:rsidRPr="00BB18AA">
        <w:rPr>
          <w:szCs w:val="24"/>
        </w:rPr>
        <w:t>The Parties shall determine the Settlement Amount for this Transaction in accordance with Section 5.2 of the Master Agreement using the defined</w:t>
      </w:r>
      <w:r w:rsidRPr="00BB18AA">
        <w:t xml:space="preserve"> terms contained in this Confirmation </w:t>
      </w:r>
      <w:r w:rsidR="008D6551" w:rsidRPr="00BB18AA">
        <w:t>and with respect to this Transaction only, the following language is to be added at the end of Section 5.2 of the Master Agreement</w:t>
      </w:r>
      <w:r w:rsidRPr="00BB18AA">
        <w:t xml:space="preserve">:  </w:t>
      </w:r>
    </w:p>
    <w:p w14:paraId="46E0AD27" w14:textId="77777777" w:rsidR="00F51FE1" w:rsidRPr="00081AFF" w:rsidRDefault="001C40CF" w:rsidP="00072107">
      <w:pPr>
        <w:pStyle w:val="BodyTextLeft"/>
        <w:ind w:left="720"/>
        <w:rPr>
          <w:b/>
        </w:rPr>
      </w:pPr>
      <w:r w:rsidRPr="00081AFF">
        <w:t>“If Buyer is the Non-Defaulting Party and Buyer reasonably expects to incur or be liable for any penalties, fines or costs from the CPUC, CAISO, or any Governmental Body having jurisdiction, because Buyer or a purchaser of Resold Product is not able to include the applicable Contract Quantity in any applicable Compliance Showing due to Seller’s Event of Default, then Buyer may, in good faith, estimate the amount of those penalties,  fines or costs and include this estimate in its determination of the Termination Payment, subject to accounting to Seller when those penalties, fines or costs are finally ascertained. If this accounting establishes that Buyer’s estimate exceeds the actual amount of penalties, fines or costs, Buyer shall promptly remit to Seller the excess amount.  The rights and obligations with respect to determining and paying any Termination Payment, and any dispute resolution provisions with respect thereto, survive the termination of this Transaction and continue until after those penalties, fines or costs are finally ascertained.”</w:t>
      </w:r>
    </w:p>
    <w:p w14:paraId="345F85B0" w14:textId="77777777" w:rsidR="00273B6F" w:rsidRDefault="001C40CF">
      <w:pPr>
        <w:jc w:val="left"/>
        <w:rPr>
          <w:b/>
        </w:rPr>
      </w:pPr>
      <w:r>
        <w:br w:type="page"/>
      </w:r>
    </w:p>
    <w:p w14:paraId="4F988694" w14:textId="77777777" w:rsidR="00F51FE1" w:rsidRDefault="001C40CF" w:rsidP="00E60878">
      <w:pPr>
        <w:pStyle w:val="BodyTextLeftBold"/>
        <w:jc w:val="left"/>
      </w:pPr>
      <w:r w:rsidRPr="008B1FFD">
        <w:lastRenderedPageBreak/>
        <w:t>ACKNOWLEDGED AND AGREED TO AS OF T</w:t>
      </w:r>
      <w:bookmarkStart w:id="12" w:name="_Ref144206278"/>
      <w:r w:rsidR="001C3D7A">
        <w:t>HE CONFIRMATION EFFECTIVE DATE.</w:t>
      </w:r>
    </w:p>
    <w:p w14:paraId="296FCD35" w14:textId="77777777" w:rsidR="007E2924" w:rsidRDefault="00CE6D7C" w:rsidP="00E60878">
      <w:pPr>
        <w:pStyle w:val="BodyTextLeftBold"/>
        <w:jc w:val="left"/>
      </w:pPr>
    </w:p>
    <w:tbl>
      <w:tblPr>
        <w:tblW w:w="9504" w:type="dxa"/>
        <w:tblLayout w:type="fixed"/>
        <w:tblLook w:val="00A0" w:firstRow="1" w:lastRow="0" w:firstColumn="1" w:lastColumn="0" w:noHBand="0" w:noVBand="0"/>
      </w:tblPr>
      <w:tblGrid>
        <w:gridCol w:w="1080"/>
        <w:gridCol w:w="3675"/>
        <w:gridCol w:w="915"/>
        <w:gridCol w:w="3834"/>
      </w:tblGrid>
      <w:tr w:rsidR="002D1676" w14:paraId="6CE48F7F" w14:textId="77777777" w:rsidTr="00072107">
        <w:trPr>
          <w:trHeight w:val="720"/>
        </w:trPr>
        <w:tc>
          <w:tcPr>
            <w:tcW w:w="4755" w:type="dxa"/>
            <w:gridSpan w:val="2"/>
          </w:tcPr>
          <w:p w14:paraId="4120443E" w14:textId="06A68182" w:rsidR="004B7B0F" w:rsidRPr="00072107" w:rsidRDefault="001C40CF" w:rsidP="00072107">
            <w:pPr>
              <w:keepNext/>
              <w:spacing w:after="240"/>
              <w:jc w:val="left"/>
            </w:pPr>
            <w:r w:rsidRPr="00072107">
              <w:rPr>
                <w:highlight w:val="yellow"/>
              </w:rPr>
              <w:t>[</w:t>
            </w:r>
            <w:r w:rsidRPr="001C40CF">
              <w:rPr>
                <w:b/>
                <w:highlight w:val="yellow"/>
              </w:rPr>
              <w:t>INSERT LEGAL NAME OF PARTY A</w:t>
            </w:r>
            <w:r w:rsidRPr="00072107">
              <w:rPr>
                <w:highlight w:val="yellow"/>
              </w:rPr>
              <w:t>]</w:t>
            </w:r>
          </w:p>
        </w:tc>
        <w:tc>
          <w:tcPr>
            <w:tcW w:w="4749" w:type="dxa"/>
            <w:gridSpan w:val="2"/>
          </w:tcPr>
          <w:p w14:paraId="0DE6DE23" w14:textId="186C961A" w:rsidR="004B7B0F" w:rsidRPr="00072107" w:rsidRDefault="001C40CF" w:rsidP="00072107">
            <w:pPr>
              <w:keepNext/>
              <w:spacing w:after="240"/>
              <w:jc w:val="left"/>
              <w:rPr>
                <w:b/>
              </w:rPr>
            </w:pPr>
            <w:r w:rsidRPr="001C40CF">
              <w:rPr>
                <w:b/>
              </w:rPr>
              <w:t xml:space="preserve">Pacific Gas and Electric Company, a California corporation, </w:t>
            </w:r>
            <w:r w:rsidR="0020184E" w:rsidRPr="0020184E">
              <w:rPr>
                <w:b/>
              </w:rPr>
              <w:t>limited for all purposes hereunder to its Central  Procurement Entity Function.</w:t>
            </w:r>
          </w:p>
        </w:tc>
      </w:tr>
      <w:tr w:rsidR="002D1676" w14:paraId="275125A1" w14:textId="77777777" w:rsidTr="00072107">
        <w:trPr>
          <w:trHeight w:val="720"/>
        </w:trPr>
        <w:tc>
          <w:tcPr>
            <w:tcW w:w="1080" w:type="dxa"/>
            <w:vAlign w:val="bottom"/>
          </w:tcPr>
          <w:p w14:paraId="1761F07A" w14:textId="3CC30423" w:rsidR="004B7B0F" w:rsidRPr="001C40CF" w:rsidRDefault="001C40CF" w:rsidP="00072107">
            <w:pPr>
              <w:keepNext/>
              <w:jc w:val="right"/>
            </w:pPr>
            <w:r w:rsidRPr="001C40CF">
              <w:t>By:</w:t>
            </w:r>
          </w:p>
        </w:tc>
        <w:tc>
          <w:tcPr>
            <w:tcW w:w="3675" w:type="dxa"/>
            <w:tcBorders>
              <w:bottom w:val="single" w:sz="4" w:space="0" w:color="auto"/>
            </w:tcBorders>
            <w:vAlign w:val="bottom"/>
          </w:tcPr>
          <w:p w14:paraId="23533D2E" w14:textId="01BB9E3B" w:rsidR="004B7B0F" w:rsidRPr="001C40CF" w:rsidRDefault="00CE6D7C" w:rsidP="00072107">
            <w:pPr>
              <w:keepNext/>
            </w:pPr>
          </w:p>
        </w:tc>
        <w:tc>
          <w:tcPr>
            <w:tcW w:w="915" w:type="dxa"/>
            <w:vAlign w:val="bottom"/>
          </w:tcPr>
          <w:p w14:paraId="4B5EE4C7" w14:textId="20827720" w:rsidR="004B7B0F" w:rsidRPr="001C40CF" w:rsidRDefault="001C40CF" w:rsidP="00072107">
            <w:pPr>
              <w:keepNext/>
              <w:jc w:val="right"/>
            </w:pPr>
            <w:r w:rsidRPr="001C40CF">
              <w:t>By:</w:t>
            </w:r>
          </w:p>
        </w:tc>
        <w:tc>
          <w:tcPr>
            <w:tcW w:w="3834" w:type="dxa"/>
            <w:tcBorders>
              <w:bottom w:val="single" w:sz="4" w:space="0" w:color="auto"/>
            </w:tcBorders>
            <w:vAlign w:val="bottom"/>
          </w:tcPr>
          <w:p w14:paraId="127B82AF" w14:textId="77777777" w:rsidR="004B7B0F" w:rsidRPr="001C40CF" w:rsidRDefault="00CE6D7C" w:rsidP="00072107">
            <w:pPr>
              <w:keepNext/>
            </w:pPr>
          </w:p>
        </w:tc>
      </w:tr>
      <w:tr w:rsidR="002D1676" w14:paraId="30F6849A" w14:textId="77777777" w:rsidTr="00072107">
        <w:trPr>
          <w:trHeight w:val="432"/>
        </w:trPr>
        <w:tc>
          <w:tcPr>
            <w:tcW w:w="1080" w:type="dxa"/>
            <w:vAlign w:val="bottom"/>
          </w:tcPr>
          <w:p w14:paraId="6F1D51D9" w14:textId="77777777" w:rsidR="004B7B0F" w:rsidRPr="00072107" w:rsidRDefault="001C40CF" w:rsidP="00072107">
            <w:pPr>
              <w:keepNext/>
              <w:jc w:val="right"/>
            </w:pPr>
            <w:r w:rsidRPr="00072107">
              <w:t>Name:</w:t>
            </w:r>
          </w:p>
        </w:tc>
        <w:tc>
          <w:tcPr>
            <w:tcW w:w="3675" w:type="dxa"/>
            <w:tcBorders>
              <w:top w:val="single" w:sz="4" w:space="0" w:color="auto"/>
              <w:bottom w:val="single" w:sz="4" w:space="0" w:color="auto"/>
            </w:tcBorders>
            <w:vAlign w:val="bottom"/>
          </w:tcPr>
          <w:p w14:paraId="52D9F328" w14:textId="5BE6ECE5" w:rsidR="004B7B0F" w:rsidRPr="00072107" w:rsidRDefault="00CE6D7C" w:rsidP="00072107">
            <w:pPr>
              <w:keepNext/>
            </w:pPr>
          </w:p>
        </w:tc>
        <w:tc>
          <w:tcPr>
            <w:tcW w:w="915" w:type="dxa"/>
            <w:vAlign w:val="bottom"/>
          </w:tcPr>
          <w:p w14:paraId="0E523328" w14:textId="77777777" w:rsidR="004B7B0F" w:rsidRPr="00072107" w:rsidRDefault="001C40CF" w:rsidP="00072107">
            <w:pPr>
              <w:keepNext/>
              <w:jc w:val="right"/>
            </w:pPr>
            <w:r w:rsidRPr="00072107">
              <w:t>Name:</w:t>
            </w:r>
          </w:p>
        </w:tc>
        <w:tc>
          <w:tcPr>
            <w:tcW w:w="3834" w:type="dxa"/>
            <w:tcBorders>
              <w:top w:val="single" w:sz="4" w:space="0" w:color="auto"/>
              <w:bottom w:val="single" w:sz="4" w:space="0" w:color="auto"/>
            </w:tcBorders>
            <w:vAlign w:val="bottom"/>
          </w:tcPr>
          <w:p w14:paraId="02812F0C" w14:textId="21804F37" w:rsidR="004B7B0F" w:rsidRPr="00072107" w:rsidRDefault="00CE6D7C" w:rsidP="00072107">
            <w:pPr>
              <w:keepNext/>
            </w:pPr>
          </w:p>
        </w:tc>
      </w:tr>
      <w:tr w:rsidR="002D1676" w14:paraId="7E1666ED" w14:textId="77777777" w:rsidTr="00072107">
        <w:trPr>
          <w:trHeight w:val="432"/>
        </w:trPr>
        <w:tc>
          <w:tcPr>
            <w:tcW w:w="1080" w:type="dxa"/>
            <w:vAlign w:val="bottom"/>
          </w:tcPr>
          <w:p w14:paraId="7C49C5FC" w14:textId="77777777" w:rsidR="004B7B0F" w:rsidRPr="00072107" w:rsidRDefault="001C40CF" w:rsidP="00072107">
            <w:pPr>
              <w:keepNext/>
              <w:jc w:val="right"/>
            </w:pPr>
            <w:r w:rsidRPr="00072107">
              <w:t>Title:</w:t>
            </w:r>
          </w:p>
        </w:tc>
        <w:tc>
          <w:tcPr>
            <w:tcW w:w="3675" w:type="dxa"/>
            <w:tcBorders>
              <w:top w:val="single" w:sz="4" w:space="0" w:color="auto"/>
              <w:bottom w:val="single" w:sz="4" w:space="0" w:color="auto"/>
            </w:tcBorders>
            <w:vAlign w:val="bottom"/>
          </w:tcPr>
          <w:p w14:paraId="353D54AD" w14:textId="098EA934" w:rsidR="004B7B0F" w:rsidRPr="00072107" w:rsidRDefault="00CE6D7C" w:rsidP="00072107">
            <w:pPr>
              <w:keepNext/>
            </w:pPr>
          </w:p>
        </w:tc>
        <w:tc>
          <w:tcPr>
            <w:tcW w:w="915" w:type="dxa"/>
            <w:vAlign w:val="bottom"/>
          </w:tcPr>
          <w:p w14:paraId="0CE63BB4" w14:textId="77777777" w:rsidR="004B7B0F" w:rsidRPr="00072107" w:rsidRDefault="001C40CF" w:rsidP="00072107">
            <w:pPr>
              <w:keepNext/>
              <w:jc w:val="right"/>
            </w:pPr>
            <w:r w:rsidRPr="00072107">
              <w:t>Title:</w:t>
            </w:r>
          </w:p>
        </w:tc>
        <w:tc>
          <w:tcPr>
            <w:tcW w:w="3834" w:type="dxa"/>
            <w:tcBorders>
              <w:top w:val="single" w:sz="4" w:space="0" w:color="auto"/>
              <w:bottom w:val="single" w:sz="4" w:space="0" w:color="auto"/>
            </w:tcBorders>
            <w:vAlign w:val="bottom"/>
          </w:tcPr>
          <w:p w14:paraId="778D2D79" w14:textId="1E13D455" w:rsidR="004B7B0F" w:rsidRPr="00072107" w:rsidRDefault="00CE6D7C" w:rsidP="00072107">
            <w:pPr>
              <w:keepNext/>
            </w:pPr>
          </w:p>
        </w:tc>
      </w:tr>
      <w:tr w:rsidR="002D1676" w14:paraId="678EACCB" w14:textId="77777777" w:rsidTr="00072107">
        <w:trPr>
          <w:trHeight w:val="432"/>
        </w:trPr>
        <w:tc>
          <w:tcPr>
            <w:tcW w:w="1080" w:type="dxa"/>
            <w:vAlign w:val="bottom"/>
          </w:tcPr>
          <w:p w14:paraId="3C77888F" w14:textId="77777777" w:rsidR="004B7B0F" w:rsidRPr="00072107" w:rsidRDefault="001C40CF" w:rsidP="00072107">
            <w:pPr>
              <w:jc w:val="right"/>
            </w:pPr>
            <w:r w:rsidRPr="00072107">
              <w:t>Date:</w:t>
            </w:r>
          </w:p>
        </w:tc>
        <w:tc>
          <w:tcPr>
            <w:tcW w:w="3675" w:type="dxa"/>
            <w:tcBorders>
              <w:top w:val="single" w:sz="4" w:space="0" w:color="auto"/>
              <w:bottom w:val="single" w:sz="4" w:space="0" w:color="auto"/>
            </w:tcBorders>
            <w:vAlign w:val="bottom"/>
          </w:tcPr>
          <w:p w14:paraId="50BEB688" w14:textId="4F1FF6B5" w:rsidR="004B7B0F" w:rsidRPr="00072107" w:rsidRDefault="00CE6D7C" w:rsidP="00072107"/>
        </w:tc>
        <w:tc>
          <w:tcPr>
            <w:tcW w:w="915" w:type="dxa"/>
            <w:vAlign w:val="bottom"/>
          </w:tcPr>
          <w:p w14:paraId="3F6D5E6A" w14:textId="77777777" w:rsidR="004B7B0F" w:rsidRPr="00072107" w:rsidRDefault="001C40CF" w:rsidP="00072107">
            <w:pPr>
              <w:jc w:val="right"/>
            </w:pPr>
            <w:r w:rsidRPr="00072107">
              <w:t>Date:</w:t>
            </w:r>
          </w:p>
        </w:tc>
        <w:tc>
          <w:tcPr>
            <w:tcW w:w="3834" w:type="dxa"/>
            <w:tcBorders>
              <w:top w:val="single" w:sz="4" w:space="0" w:color="auto"/>
              <w:bottom w:val="single" w:sz="4" w:space="0" w:color="auto"/>
            </w:tcBorders>
            <w:vAlign w:val="bottom"/>
          </w:tcPr>
          <w:p w14:paraId="61CBEEA2" w14:textId="197FEA6B" w:rsidR="004B7B0F" w:rsidRPr="00072107" w:rsidRDefault="00CE6D7C" w:rsidP="00072107"/>
        </w:tc>
      </w:tr>
    </w:tbl>
    <w:p w14:paraId="6787CFD2" w14:textId="77777777" w:rsidR="000833E3" w:rsidRDefault="00CE6D7C" w:rsidP="00E60878">
      <w:pPr>
        <w:pStyle w:val="BodyTextLeftBold"/>
        <w:jc w:val="left"/>
      </w:pPr>
    </w:p>
    <w:p w14:paraId="603C9097" w14:textId="77777777" w:rsidR="009E38F8" w:rsidRDefault="009E38F8" w:rsidP="00080BB1">
      <w:pPr>
        <w:pStyle w:val="BodyTextLeft"/>
        <w:rPr>
          <w:lang w:val="en-CA"/>
        </w:rPr>
        <w:sectPr w:rsidR="009E38F8" w:rsidSect="000E4C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E83E0E0" w14:textId="77777777" w:rsidR="00F51FE1" w:rsidRPr="00081AFF" w:rsidRDefault="001C40CF" w:rsidP="00F51FE1">
      <w:pPr>
        <w:pStyle w:val="Title"/>
      </w:pPr>
      <w:r w:rsidRPr="00081AFF">
        <w:rPr>
          <w:lang w:val="en-CA"/>
        </w:rPr>
        <w:lastRenderedPageBreak/>
        <w:t>APPENDIX A</w:t>
      </w:r>
      <w:bookmarkEnd w:id="12"/>
      <w:r>
        <w:rPr>
          <w:lang w:val="en-CA"/>
        </w:rPr>
        <w:br/>
      </w:r>
      <w:r w:rsidRPr="002D1A01">
        <w:rPr>
          <w:u w:val="single"/>
        </w:rPr>
        <w:t>DEFINED TERMS</w:t>
      </w:r>
    </w:p>
    <w:p w14:paraId="7456BA0D" w14:textId="77777777" w:rsidR="00F51FE1" w:rsidRPr="00081AFF" w:rsidRDefault="001C40CF" w:rsidP="00E60878">
      <w:pPr>
        <w:pStyle w:val="BodyTextLeft"/>
        <w:jc w:val="left"/>
        <w:rPr>
          <w:lang w:val="en-CA"/>
        </w:rPr>
      </w:pPr>
      <w:r w:rsidRPr="00081AFF">
        <w:rPr>
          <w:lang w:val="en-CA"/>
        </w:rPr>
        <w:t>For purposes of this Confirmation, the following terms have the following meanings:</w:t>
      </w:r>
    </w:p>
    <w:p w14:paraId="3E2C8C45" w14:textId="77777777" w:rsidR="00F51FE1" w:rsidRPr="00081AFF" w:rsidRDefault="001C40CF" w:rsidP="00E60878">
      <w:pPr>
        <w:pStyle w:val="BodyTextLeft"/>
        <w:jc w:val="left"/>
        <w:rPr>
          <w:lang w:val="en-CA"/>
        </w:rPr>
      </w:pPr>
      <w:r w:rsidRPr="00081AFF">
        <w:rPr>
          <w:lang w:val="en-CA"/>
        </w:rPr>
        <w:t>“</w:t>
      </w:r>
      <w:r w:rsidRPr="00081AFF">
        <w:rPr>
          <w:u w:val="single"/>
          <w:lang w:val="en-CA"/>
        </w:rPr>
        <w:t>Advice Letter</w:t>
      </w:r>
      <w:r w:rsidRPr="00081AFF">
        <w:rPr>
          <w:lang w:val="en-CA"/>
        </w:rPr>
        <w:t>” means</w:t>
      </w:r>
      <w:r w:rsidR="006A6A5F">
        <w:rPr>
          <w:lang w:val="en-CA"/>
        </w:rPr>
        <w:t xml:space="preserve"> (</w:t>
      </w:r>
      <w:r w:rsidR="006A6A5F" w:rsidRPr="00081AFF">
        <w:rPr>
          <w:lang w:val="en-CA"/>
        </w:rPr>
        <w:t>1</w:t>
      </w:r>
      <w:r w:rsidR="006A6A5F">
        <w:rPr>
          <w:lang w:val="en-CA"/>
        </w:rPr>
        <w:t>) </w:t>
      </w:r>
      <w:r w:rsidR="006A6A5F" w:rsidRPr="00081AFF">
        <w:rPr>
          <w:lang w:val="en-CA"/>
        </w:rPr>
        <w:t>a</w:t>
      </w:r>
      <w:r w:rsidRPr="00081AFF">
        <w:rPr>
          <w:lang w:val="en-CA"/>
        </w:rPr>
        <w:t>n informal request by a CPUC jurisdictional entity for Commission approval, authorization, or other relief, including an informal request for approval to furnish service under rates, charges, terms or conditions other than those contained in the utility</w:t>
      </w:r>
      <w:r>
        <w:rPr>
          <w:lang w:val="en-CA"/>
        </w:rPr>
        <w:t>’</w:t>
      </w:r>
      <w:r w:rsidRPr="00081AFF">
        <w:rPr>
          <w:lang w:val="en-CA"/>
        </w:rPr>
        <w:t>s tariffs then in effect, and</w:t>
      </w:r>
      <w:r w:rsidR="006A6A5F">
        <w:rPr>
          <w:lang w:val="en-CA"/>
        </w:rPr>
        <w:t xml:space="preserve"> (</w:t>
      </w:r>
      <w:r w:rsidR="006A6A5F" w:rsidRPr="00081AFF">
        <w:rPr>
          <w:lang w:val="en-CA"/>
        </w:rPr>
        <w:t>2</w:t>
      </w:r>
      <w:r w:rsidR="006A6A5F">
        <w:rPr>
          <w:lang w:val="en-CA"/>
        </w:rPr>
        <w:t>) </w:t>
      </w:r>
      <w:r w:rsidR="006A6A5F" w:rsidRPr="00081AFF">
        <w:rPr>
          <w:lang w:val="en-CA"/>
        </w:rPr>
        <w:t>a</w:t>
      </w:r>
      <w:r w:rsidRPr="00081AFF">
        <w:rPr>
          <w:lang w:val="en-CA"/>
        </w:rPr>
        <w:t xml:space="preserve"> compliance filing by a load-serving entity pursuant to Public Utilities Code Section 380.</w:t>
      </w:r>
    </w:p>
    <w:p w14:paraId="4E0DFD2C" w14:textId="09B59D3A" w:rsidR="00A274C6" w:rsidRPr="00A274C6" w:rsidRDefault="001C40CF" w:rsidP="00E60878">
      <w:pPr>
        <w:pStyle w:val="BodyTextLeft"/>
        <w:jc w:val="left"/>
        <w:rPr>
          <w:lang w:val="en-CA"/>
        </w:rPr>
      </w:pPr>
      <w:r w:rsidRPr="00081AFF">
        <w:rPr>
          <w:lang w:val="en-CA"/>
        </w:rPr>
        <w:t>“</w:t>
      </w:r>
      <w:r w:rsidRPr="00081AFF">
        <w:rPr>
          <w:u w:val="single"/>
          <w:lang w:val="en-CA"/>
        </w:rPr>
        <w:t>Alternate Unit</w:t>
      </w:r>
      <w:r w:rsidRPr="00081AFF">
        <w:rPr>
          <w:lang w:val="en-CA"/>
        </w:rPr>
        <w:t>” means a generating unit designated by the Parties in accordance with Section 2.3 and which includes the Product characteristics, if any, as set forth in Appendix B.</w:t>
      </w:r>
    </w:p>
    <w:p w14:paraId="31B919FE" w14:textId="175D75F1" w:rsidR="00D70B1F" w:rsidRPr="00D70B1F" w:rsidRDefault="001C40CF" w:rsidP="00E60878">
      <w:pPr>
        <w:pStyle w:val="BodyTextLeft"/>
        <w:jc w:val="left"/>
        <w:rPr>
          <w:lang w:val="en-CA"/>
        </w:rPr>
      </w:pPr>
      <w:r w:rsidRPr="00081AFF">
        <w:rPr>
          <w:lang w:val="en-CA"/>
        </w:rPr>
        <w:t>“</w:t>
      </w:r>
      <w:r w:rsidRPr="00081AFF">
        <w:rPr>
          <w:u w:val="single"/>
          <w:lang w:val="en-CA"/>
        </w:rPr>
        <w:t>CAISO</w:t>
      </w:r>
      <w:r w:rsidRPr="00081AFF">
        <w:rPr>
          <w:lang w:val="en-CA"/>
        </w:rPr>
        <w:t xml:space="preserve">” means the California Independent System Operator Corporation or any successor entity performing substantially the same functions.  </w:t>
      </w:r>
    </w:p>
    <w:p w14:paraId="2526F18D" w14:textId="77777777" w:rsidR="00F51FE1" w:rsidRPr="00081AFF" w:rsidRDefault="001C40CF" w:rsidP="00E60878">
      <w:pPr>
        <w:pStyle w:val="BodyTextLeft"/>
        <w:jc w:val="left"/>
        <w:rPr>
          <w:lang w:val="en-CA"/>
        </w:rPr>
      </w:pPr>
      <w:r w:rsidRPr="00081AFF">
        <w:rPr>
          <w:lang w:val="en-CA"/>
        </w:rPr>
        <w:t>“</w:t>
      </w:r>
      <w:r w:rsidRPr="00081AFF">
        <w:rPr>
          <w:u w:val="single"/>
          <w:lang w:val="en-CA"/>
        </w:rPr>
        <w:t>Capacity Attributes</w:t>
      </w:r>
      <w:r w:rsidRPr="00081AFF">
        <w:rPr>
          <w:lang w:val="en-CA"/>
        </w:rPr>
        <w:t>” means, with respect to a generating unit, any and all of the following, in each case which are attributed to or associated with the generating unit at any time throughout the Delivery Period:</w:t>
      </w:r>
    </w:p>
    <w:p w14:paraId="620D849D" w14:textId="77777777" w:rsidR="00F51FE1" w:rsidRPr="00081AFF" w:rsidRDefault="001C40CF" w:rsidP="00E60878">
      <w:pPr>
        <w:pStyle w:val="BodyText2"/>
        <w:jc w:val="left"/>
      </w:pPr>
      <w:r w:rsidRPr="00081AFF">
        <w:t>(a)</w:t>
      </w:r>
      <w:r w:rsidRPr="00081AFF">
        <w:tab/>
        <w:t xml:space="preserve">Resource Adequacy Capacity attributes of the generating unit, as may be identified from time to </w:t>
      </w:r>
      <w:r w:rsidRPr="00080BB1">
        <w:t>time</w:t>
      </w:r>
      <w:r w:rsidRPr="00081AFF">
        <w:t xml:space="preserve"> by the CPUC, CAISO, or other Governmental Body having jurisdiction, that can be counted toward RAR;</w:t>
      </w:r>
    </w:p>
    <w:p w14:paraId="3BA5656F" w14:textId="77777777" w:rsidR="00F51FE1" w:rsidRPr="00081AFF" w:rsidRDefault="001C40CF" w:rsidP="00E60878">
      <w:pPr>
        <w:pStyle w:val="BodyText2"/>
        <w:jc w:val="left"/>
      </w:pPr>
      <w:r w:rsidRPr="00081AFF">
        <w:t>(b)</w:t>
      </w:r>
      <w:r w:rsidRPr="00081AFF">
        <w:tab/>
        <w:t>Resource Adequacy Capacity attributes or other locational attributes of the generating unit related to a Local Capacity Area, as may be identified from time to time by the CPUC, CAISO or other Governmental Body having jurisdiction, associated with the physical location or point of electrical interconnection of the generating unit within the CAISO Control Area, that can be counted toward a Local RAR; and</w:t>
      </w:r>
    </w:p>
    <w:p w14:paraId="53312A77" w14:textId="77777777" w:rsidR="00F51FE1" w:rsidRPr="00081AFF" w:rsidRDefault="001C40CF" w:rsidP="00E60878">
      <w:pPr>
        <w:pStyle w:val="BodyText2"/>
        <w:jc w:val="left"/>
      </w:pPr>
      <w:r w:rsidRPr="00081AFF">
        <w:t>(c)</w:t>
      </w:r>
      <w:r w:rsidRPr="00081AFF">
        <w:tab/>
        <w:t>other current or future defined characteristics, certificates, tags, credits, or accounting constructs of the generating unit, howsoever entitled, including any accounting construct counted toward any Compliance Obligations;</w:t>
      </w:r>
    </w:p>
    <w:p w14:paraId="6FDF47FC" w14:textId="53B6FF23" w:rsidR="001C40CF" w:rsidRDefault="001C40CF" w:rsidP="00E60878">
      <w:pPr>
        <w:pStyle w:val="BodyTextLeft"/>
        <w:jc w:val="left"/>
        <w:rPr>
          <w:lang w:val="en-CA"/>
        </w:rPr>
      </w:pPr>
      <w:r w:rsidRPr="00081AFF">
        <w:rPr>
          <w:lang w:val="en-CA"/>
        </w:rPr>
        <w:t>provided that, notwithstanding the foregoing, Capacity Attributes exclude all certificates, tags, credits, or accounting constructs that are not counted toward any Compliance Obligations, howsoever entitled associated with the generating unit, as such characteristics, certificates, tags, credits, or accounting constructs are described in the CPUC Decisions and Tariff.</w:t>
      </w:r>
    </w:p>
    <w:p w14:paraId="1047CAB5" w14:textId="1B21845B" w:rsidR="00F51FE1" w:rsidRPr="00081AFF" w:rsidRDefault="001C40CF" w:rsidP="00E60878">
      <w:pPr>
        <w:pStyle w:val="BodyTextLeft"/>
        <w:jc w:val="left"/>
        <w:rPr>
          <w:lang w:val="en-CA"/>
        </w:rPr>
      </w:pPr>
      <w:r w:rsidRPr="00081AFF">
        <w:rPr>
          <w:lang w:val="en-CA"/>
        </w:rPr>
        <w:t>“</w:t>
      </w:r>
      <w:r w:rsidRPr="00081AFF">
        <w:rPr>
          <w:u w:val="single"/>
          <w:lang w:val="en-CA"/>
        </w:rPr>
        <w:t>Compliance Obligations</w:t>
      </w:r>
      <w:r w:rsidRPr="00081AFF">
        <w:rPr>
          <w:lang w:val="en-CA"/>
        </w:rPr>
        <w:t xml:space="preserve">” means the RAR and Local RAR, and if applicable FCR. </w:t>
      </w:r>
    </w:p>
    <w:p w14:paraId="2D383442" w14:textId="77777777" w:rsidR="00F51FE1" w:rsidRPr="00081AFF" w:rsidRDefault="001C40CF" w:rsidP="00E60878">
      <w:pPr>
        <w:pStyle w:val="BodyTextLeft"/>
        <w:jc w:val="left"/>
        <w:rPr>
          <w:lang w:val="en-CA"/>
        </w:rPr>
      </w:pPr>
      <w:r w:rsidRPr="00081AFF">
        <w:rPr>
          <w:lang w:val="en-CA"/>
        </w:rPr>
        <w:t>“</w:t>
      </w:r>
      <w:r w:rsidRPr="00081AFF">
        <w:rPr>
          <w:u w:val="single"/>
          <w:lang w:val="en-CA"/>
        </w:rPr>
        <w:t>Compliance Showings</w:t>
      </w:r>
      <w:r w:rsidRPr="00081AFF">
        <w:rPr>
          <w:lang w:val="en-CA"/>
        </w:rPr>
        <w:t>” means the</w:t>
      </w:r>
      <w:r w:rsidR="0071776C">
        <w:rPr>
          <w:lang w:val="en-CA"/>
        </w:rPr>
        <w:t xml:space="preserve"> monthly, annual, or multi-year</w:t>
      </w:r>
      <w:r w:rsidR="006A6A5F">
        <w:rPr>
          <w:lang w:val="en-CA"/>
        </w:rPr>
        <w:t xml:space="preserve"> (</w:t>
      </w:r>
      <w:r w:rsidR="006A6A5F" w:rsidRPr="00081AFF">
        <w:rPr>
          <w:lang w:val="en-CA"/>
        </w:rPr>
        <w:t>a</w:t>
      </w:r>
      <w:r w:rsidR="006A6A5F">
        <w:rPr>
          <w:lang w:val="en-CA"/>
        </w:rPr>
        <w:t>) </w:t>
      </w:r>
      <w:r w:rsidR="006A6A5F" w:rsidRPr="00081AFF">
        <w:rPr>
          <w:lang w:val="en-CA"/>
        </w:rPr>
        <w:t>L</w:t>
      </w:r>
      <w:r w:rsidRPr="00081AFF">
        <w:rPr>
          <w:lang w:val="en-CA"/>
        </w:rPr>
        <w:t>ocal RAR compliance or advisory showings (or similar or successor showings),</w:t>
      </w:r>
      <w:r w:rsidR="006A6A5F">
        <w:rPr>
          <w:lang w:val="en-CA"/>
        </w:rPr>
        <w:t xml:space="preserve"> (</w:t>
      </w:r>
      <w:r w:rsidR="006A6A5F" w:rsidRPr="00081AFF">
        <w:rPr>
          <w:lang w:val="en-CA"/>
        </w:rPr>
        <w:t>b</w:t>
      </w:r>
      <w:r w:rsidR="006A6A5F">
        <w:rPr>
          <w:lang w:val="en-CA"/>
        </w:rPr>
        <w:t>) </w:t>
      </w:r>
      <w:r w:rsidR="006A6A5F" w:rsidRPr="00081AFF">
        <w:rPr>
          <w:lang w:val="en-CA"/>
        </w:rPr>
        <w:t>R</w:t>
      </w:r>
      <w:r w:rsidRPr="00081AFF">
        <w:rPr>
          <w:lang w:val="en-CA"/>
        </w:rPr>
        <w:t>AR compliance or advisory showings (or similar or successor showings), and</w:t>
      </w:r>
      <w:r w:rsidR="006A6A5F">
        <w:rPr>
          <w:lang w:val="en-CA"/>
        </w:rPr>
        <w:t xml:space="preserve"> (</w:t>
      </w:r>
      <w:r w:rsidR="006A6A5F" w:rsidRPr="00081AFF">
        <w:rPr>
          <w:lang w:val="en-CA"/>
        </w:rPr>
        <w:t>c</w:t>
      </w:r>
      <w:r w:rsidR="006A6A5F">
        <w:rPr>
          <w:lang w:val="en-CA"/>
        </w:rPr>
        <w:t>) </w:t>
      </w:r>
      <w:r w:rsidR="006A6A5F" w:rsidRPr="00081AFF">
        <w:rPr>
          <w:lang w:val="en-CA"/>
        </w:rPr>
        <w:t>i</w:t>
      </w:r>
      <w:r w:rsidRPr="00081AFF">
        <w:rPr>
          <w:lang w:val="en-CA"/>
        </w:rPr>
        <w:t>f applicable, FCR compliance or advisory showings (or similar or successor showings), in each case, an LSE is required to make to the CPUC (and, to the extent authorized by the CPUC, to CAISO) pursuant to the CPUC Decisions, to CAISO pursuant to the Tariff, or to any Governmental Body having jurisdiction.</w:t>
      </w:r>
    </w:p>
    <w:p w14:paraId="60398BC9" w14:textId="77777777" w:rsidR="00F51FE1" w:rsidRPr="00081AFF" w:rsidRDefault="001C40CF" w:rsidP="00E60878">
      <w:pPr>
        <w:pStyle w:val="BodyTextLeft"/>
        <w:jc w:val="left"/>
        <w:rPr>
          <w:lang w:val="en-CA"/>
        </w:rPr>
      </w:pPr>
      <w:r w:rsidRPr="00081AFF">
        <w:rPr>
          <w:lang w:val="en-CA"/>
        </w:rPr>
        <w:lastRenderedPageBreak/>
        <w:t>“</w:t>
      </w:r>
      <w:r w:rsidRPr="00081AFF">
        <w:rPr>
          <w:u w:val="single"/>
          <w:lang w:val="en-CA"/>
        </w:rPr>
        <w:t>Confirmation</w:t>
      </w:r>
      <w:r w:rsidRPr="00081AFF">
        <w:rPr>
          <w:lang w:val="en-CA"/>
        </w:rPr>
        <w:t>” is defined in the introductory paragraph of this Confirmation.</w:t>
      </w:r>
    </w:p>
    <w:p w14:paraId="1AB4869F" w14:textId="77777777" w:rsidR="00F51FE1" w:rsidRPr="00081AFF" w:rsidRDefault="001C40CF" w:rsidP="00E60878">
      <w:pPr>
        <w:pStyle w:val="BodyTextLeft"/>
        <w:jc w:val="left"/>
        <w:rPr>
          <w:lang w:val="en-CA"/>
        </w:rPr>
      </w:pPr>
      <w:r w:rsidRPr="00081AFF">
        <w:rPr>
          <w:lang w:val="en-CA"/>
        </w:rPr>
        <w:t>“</w:t>
      </w:r>
      <w:r w:rsidRPr="00081AFF">
        <w:rPr>
          <w:u w:val="single"/>
          <w:lang w:val="en-CA"/>
        </w:rPr>
        <w:t>Confirmation Effective Date</w:t>
      </w:r>
      <w:r w:rsidRPr="00081AFF">
        <w:rPr>
          <w:lang w:val="en-CA"/>
        </w:rPr>
        <w:t>” is defined in the introductory paragraph of this Confirmation.</w:t>
      </w:r>
    </w:p>
    <w:p w14:paraId="1A9D4B1E" w14:textId="77777777" w:rsidR="00F51FE1" w:rsidRPr="00081AFF" w:rsidRDefault="001C40CF" w:rsidP="00E60878">
      <w:pPr>
        <w:pStyle w:val="BodyTextLeft"/>
        <w:jc w:val="left"/>
        <w:rPr>
          <w:lang w:val="en-CA"/>
        </w:rPr>
      </w:pPr>
      <w:r w:rsidRPr="00081AFF">
        <w:rPr>
          <w:lang w:val="en-CA"/>
        </w:rPr>
        <w:t>“</w:t>
      </w:r>
      <w:r w:rsidRPr="00081AFF">
        <w:rPr>
          <w:u w:val="single"/>
          <w:lang w:val="en-CA"/>
        </w:rPr>
        <w:t>Contract Price</w:t>
      </w:r>
      <w:r w:rsidRPr="00081AFF">
        <w:rPr>
          <w:lang w:val="en-CA"/>
        </w:rPr>
        <w:t>” means, for any period during the Delivery Period, the price, expressed in dollars per kW-month, specified for such period set forth in the Contract Price Table in Appendix B.</w:t>
      </w:r>
    </w:p>
    <w:p w14:paraId="1F579112" w14:textId="05628F1D" w:rsidR="00F51FE1" w:rsidRDefault="001C40CF" w:rsidP="00E60878">
      <w:pPr>
        <w:pStyle w:val="BodyTextLeft"/>
        <w:jc w:val="left"/>
        <w:rPr>
          <w:lang w:val="en-CA"/>
        </w:rPr>
      </w:pPr>
      <w:r w:rsidRPr="00081AFF">
        <w:rPr>
          <w:lang w:val="en-CA"/>
        </w:rPr>
        <w:t>“</w:t>
      </w:r>
      <w:r w:rsidRPr="00081AFF">
        <w:rPr>
          <w:u w:val="single"/>
          <w:lang w:val="en-CA"/>
        </w:rPr>
        <w:t>Contract Quantity</w:t>
      </w:r>
      <w:r w:rsidRPr="00081AFF">
        <w:rPr>
          <w:lang w:val="en-CA"/>
        </w:rPr>
        <w:t>” means, with respect to any day during the Delivery Period, the amount of Product, expressed in MW, set forth in the Contract Quantity table in Appendix B for such day.</w:t>
      </w:r>
    </w:p>
    <w:p w14:paraId="3172D158" w14:textId="77777777" w:rsidR="00441574" w:rsidRPr="00AB1C42" w:rsidRDefault="00441574" w:rsidP="00441574">
      <w:pPr>
        <w:pStyle w:val="BodyTextLeft"/>
      </w:pPr>
      <w:r w:rsidRPr="00AB1C42">
        <w:t>“</w:t>
      </w:r>
      <w:r w:rsidRPr="00F741D3">
        <w:rPr>
          <w:u w:val="single"/>
        </w:rPr>
        <w:t>CPM Capacity</w:t>
      </w:r>
      <w:r w:rsidRPr="00AB1C42">
        <w:t>” has the meaning set forth in the CAISO Tariff.</w:t>
      </w:r>
    </w:p>
    <w:p w14:paraId="28ADF83F" w14:textId="77777777" w:rsidR="00D70B1F" w:rsidRPr="00D70B1F" w:rsidRDefault="001C40CF" w:rsidP="00E60878">
      <w:pPr>
        <w:pStyle w:val="BodyTextLeft"/>
        <w:jc w:val="left"/>
        <w:rPr>
          <w:lang w:val="en-CA"/>
        </w:rPr>
      </w:pPr>
      <w:r>
        <w:rPr>
          <w:lang w:val="en-CA"/>
        </w:rPr>
        <w:t>“</w:t>
      </w:r>
      <w:r>
        <w:rPr>
          <w:u w:val="single"/>
          <w:lang w:val="en-CA"/>
        </w:rPr>
        <w:t>CPUC</w:t>
      </w:r>
      <w:r>
        <w:rPr>
          <w:lang w:val="en-CA"/>
        </w:rPr>
        <w:t>” means the California Public Utilities Commission.</w:t>
      </w:r>
    </w:p>
    <w:p w14:paraId="35195B29" w14:textId="77777777" w:rsidR="00F51FE1" w:rsidRPr="00081AFF" w:rsidRDefault="001C40CF" w:rsidP="00E60878">
      <w:pPr>
        <w:pStyle w:val="BodyTextLeft"/>
        <w:jc w:val="left"/>
        <w:rPr>
          <w:lang w:val="en-CA"/>
        </w:rPr>
      </w:pPr>
      <w:r w:rsidRPr="00081AFF">
        <w:rPr>
          <w:lang w:val="en-CA"/>
        </w:rPr>
        <w:t>“</w:t>
      </w:r>
      <w:r w:rsidRPr="00081AFF">
        <w:rPr>
          <w:u w:val="single"/>
          <w:lang w:val="en-CA"/>
        </w:rPr>
        <w:t>CPUC Decisions</w:t>
      </w:r>
      <w:r w:rsidRPr="00081AFF">
        <w:rPr>
          <w:lang w:val="en-CA"/>
        </w:rPr>
        <w:t xml:space="preserve">” means CPUC Decisions 04-01-050, 04-10-035, 05-10-042, 06-04-040, 06-06-064, 06-07-031, 07-06-029, 08-06-031, 09-06-028, 10-06-036, 11-06-022, 12-06-025, 13-06-024, 14-06-050, 15-01-063, 15-06-063, 16-06-045, 17-06-027, and any other existing or subsequent decisions, resolutions, or rulings related to resource adequacy, including, without limitation, the CPUC Filing Guide, in each case as may be amended from time to time by the CPUC. </w:t>
      </w:r>
    </w:p>
    <w:p w14:paraId="28CAF84E" w14:textId="77777777" w:rsidR="00F51FE1" w:rsidRPr="00081AFF" w:rsidRDefault="001C40CF" w:rsidP="00E60878">
      <w:pPr>
        <w:pStyle w:val="BodyTextLeft"/>
        <w:jc w:val="left"/>
        <w:rPr>
          <w:lang w:val="en-CA"/>
        </w:rPr>
      </w:pPr>
      <w:r w:rsidRPr="00081AFF">
        <w:rPr>
          <w:lang w:val="en-CA"/>
        </w:rPr>
        <w:t>“</w:t>
      </w:r>
      <w:r w:rsidRPr="00081AFF">
        <w:rPr>
          <w:u w:val="single"/>
          <w:lang w:val="en-CA"/>
        </w:rPr>
        <w:t>CPUC Filing Guide</w:t>
      </w:r>
      <w:r w:rsidRPr="00081AFF">
        <w:rPr>
          <w:lang w:val="en-CA"/>
        </w:rPr>
        <w:t>” means the annual document issued by the CPUC which sets forth the guidelines, requirements and instructions for LSE’s to demonstrate compliance with the CPUC’s resource adequacy program.</w:t>
      </w:r>
    </w:p>
    <w:p w14:paraId="0DA49BF6" w14:textId="77777777" w:rsidR="00F51FE1" w:rsidRPr="00081AFF" w:rsidRDefault="001C40CF" w:rsidP="00E60878">
      <w:pPr>
        <w:pStyle w:val="BodyTextLeft"/>
        <w:jc w:val="left"/>
        <w:rPr>
          <w:lang w:val="en-CA"/>
        </w:rPr>
      </w:pPr>
      <w:r w:rsidRPr="00081AFF">
        <w:rPr>
          <w:lang w:val="en-CA"/>
        </w:rPr>
        <w:t>“</w:t>
      </w:r>
      <w:r w:rsidRPr="00081AFF">
        <w:rPr>
          <w:u w:val="single"/>
          <w:lang w:val="en-CA"/>
        </w:rPr>
        <w:t>Delivery Period</w:t>
      </w:r>
      <w:r w:rsidRPr="00081AFF">
        <w:rPr>
          <w:lang w:val="en-CA"/>
        </w:rPr>
        <w:t>” is defined in Article 1</w:t>
      </w:r>
      <w:r w:rsidR="00FB71B0">
        <w:rPr>
          <w:lang w:val="en-CA"/>
        </w:rPr>
        <w:t xml:space="preserve"> of this Confirmation</w:t>
      </w:r>
      <w:r w:rsidRPr="00081AFF">
        <w:rPr>
          <w:lang w:val="en-CA"/>
        </w:rPr>
        <w:t>.</w:t>
      </w:r>
    </w:p>
    <w:p w14:paraId="7EFFD4C0" w14:textId="77777777" w:rsidR="00F51FE1" w:rsidRPr="00081AFF" w:rsidRDefault="001C40CF" w:rsidP="00E60878">
      <w:pPr>
        <w:pStyle w:val="BodyTextLeft"/>
        <w:jc w:val="left"/>
        <w:rPr>
          <w:lang w:val="en-CA"/>
        </w:rPr>
      </w:pPr>
      <w:r w:rsidRPr="00081AFF">
        <w:rPr>
          <w:lang w:val="en-CA"/>
        </w:rPr>
        <w:t>“</w:t>
      </w:r>
      <w:r w:rsidRPr="00081AFF">
        <w:rPr>
          <w:u w:val="single"/>
          <w:lang w:val="en-CA"/>
        </w:rPr>
        <w:t>Emission Reduction Credits</w:t>
      </w:r>
      <w:r w:rsidRPr="00081AFF">
        <w:rPr>
          <w:lang w:val="en-CA"/>
        </w:rPr>
        <w:t>” or “ERC(s)” means emission reductions that have been authorized by a local air pollution control district pursuant to California Division 26 Air Resources; Health and Safety Code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3791C648" w14:textId="77777777" w:rsidR="00F51FE1" w:rsidRPr="00081AFF" w:rsidRDefault="001C40CF" w:rsidP="00E60878">
      <w:pPr>
        <w:pStyle w:val="BodyTextLeft"/>
        <w:jc w:val="left"/>
        <w:rPr>
          <w:lang w:val="en-CA"/>
        </w:rPr>
      </w:pPr>
      <w:r w:rsidRPr="00081AFF">
        <w:rPr>
          <w:lang w:val="en-CA"/>
        </w:rPr>
        <w:t>“</w:t>
      </w:r>
      <w:r w:rsidRPr="00081AFF">
        <w:rPr>
          <w:u w:val="single"/>
          <w:lang w:val="en-CA"/>
        </w:rPr>
        <w:t>Environmental Costs</w:t>
      </w:r>
      <w:r w:rsidRPr="00081AFF">
        <w:rPr>
          <w:lang w:val="en-CA"/>
        </w:rPr>
        <w:t>” means costs incurred in connection with acquiring and maintaining all environmental permits and licenses for the Product, and the Product’s compliance with all applicable environmental laws, rules and regulations, including capital costs for pollution mitigation or installation of emissions control equipment required to permit or license the Product, all operating and maintenance costs for operation of pollution mitigation or control equipment, costs of permit maintenance fees and emission fees as applicable, and the costs of all Emission Reduction Credits or Marketable Emission Trading Credits (including any costs related to greenhouse gas emissions)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6E708DCC" w14:textId="77777777" w:rsidR="008D4DC0" w:rsidRDefault="001C40CF" w:rsidP="00E60878">
      <w:pPr>
        <w:pStyle w:val="BodyTextLeft"/>
        <w:jc w:val="left"/>
        <w:rPr>
          <w:lang w:val="en-CA"/>
        </w:rPr>
      </w:pPr>
      <w:r>
        <w:rPr>
          <w:lang w:val="en-CA"/>
        </w:rPr>
        <w:t>“</w:t>
      </w:r>
      <w:r w:rsidRPr="001B4463">
        <w:rPr>
          <w:u w:val="single"/>
          <w:lang w:val="en-CA"/>
        </w:rPr>
        <w:t>FERC</w:t>
      </w:r>
      <w:r>
        <w:rPr>
          <w:lang w:val="en-CA"/>
        </w:rPr>
        <w:t>” means the Federal Energy Regulatory Commission.</w:t>
      </w:r>
    </w:p>
    <w:p w14:paraId="6EFCBC8C" w14:textId="77777777" w:rsidR="00F51FE1" w:rsidRPr="00081AFF" w:rsidRDefault="001C40CF" w:rsidP="00E60878">
      <w:pPr>
        <w:pStyle w:val="BodyTextLeft"/>
        <w:jc w:val="left"/>
        <w:rPr>
          <w:lang w:val="en-CA"/>
        </w:rPr>
      </w:pPr>
      <w:r w:rsidRPr="00081AFF">
        <w:rPr>
          <w:lang w:val="en-CA"/>
        </w:rPr>
        <w:lastRenderedPageBreak/>
        <w:t>“</w:t>
      </w:r>
      <w:r w:rsidRPr="00081AFF">
        <w:rPr>
          <w:u w:val="single"/>
          <w:lang w:val="en-CA"/>
        </w:rPr>
        <w:t>FCR</w:t>
      </w:r>
      <w:r w:rsidRPr="00081AFF">
        <w:rPr>
          <w:lang w:val="en-CA"/>
        </w:rPr>
        <w:t>” means the flexible capacity requirements established for LSEs by the CPUC pursuant to the CPUC Decisions, or by a Local Regulatory Authority or other Governmental Body having jurisdiction.</w:t>
      </w:r>
    </w:p>
    <w:p w14:paraId="70DA475C" w14:textId="77777777" w:rsidR="00F51FE1" w:rsidRPr="00081AFF" w:rsidRDefault="001C40CF" w:rsidP="00E60878">
      <w:pPr>
        <w:pStyle w:val="BodyTextLeft"/>
        <w:jc w:val="left"/>
        <w:rPr>
          <w:lang w:val="en-CA"/>
        </w:rPr>
      </w:pPr>
      <w:r w:rsidRPr="00081AFF">
        <w:rPr>
          <w:lang w:val="en-CA"/>
        </w:rPr>
        <w:t>“</w:t>
      </w:r>
      <w:r w:rsidRPr="00081AFF">
        <w:rPr>
          <w:u w:val="single"/>
          <w:lang w:val="en-CA"/>
        </w:rPr>
        <w:t>FCR Attributes</w:t>
      </w:r>
      <w:r w:rsidRPr="00081AFF">
        <w:rPr>
          <w:lang w:val="en-CA"/>
        </w:rPr>
        <w:t>” means, with respect to a generating unit, any and all resource adequacy attributes of the generating unit, as may be identified from time to time by the CPUC, CAISO, or other Governmental Body having jurisdiction, that can be counted toward an LSE’s FCR.</w:t>
      </w:r>
    </w:p>
    <w:p w14:paraId="00F0820C" w14:textId="77777777" w:rsidR="00F51FE1" w:rsidRDefault="001C40CF" w:rsidP="00E60878">
      <w:pPr>
        <w:pStyle w:val="BodyTextLeft"/>
        <w:jc w:val="left"/>
        <w:rPr>
          <w:lang w:val="en-CA"/>
        </w:rPr>
      </w:pPr>
      <w:r w:rsidRPr="00081AFF">
        <w:rPr>
          <w:lang w:val="en-CA"/>
        </w:rPr>
        <w:t>“</w:t>
      </w:r>
      <w:r w:rsidRPr="00081AFF">
        <w:rPr>
          <w:u w:val="single"/>
          <w:lang w:val="en-CA"/>
        </w:rPr>
        <w:t>FCR Contract Quantity</w:t>
      </w:r>
      <w:r w:rsidRPr="00081AFF">
        <w:rPr>
          <w:lang w:val="en-CA"/>
        </w:rPr>
        <w:t>” means, with respect to a day included in the Delivery Period, the amount of FCR Attributes, expressed in MW, equal to the Contract Quantity for such day.</w:t>
      </w:r>
    </w:p>
    <w:p w14:paraId="5F9FA97C" w14:textId="77777777" w:rsidR="00F51FE1" w:rsidRPr="00081AFF" w:rsidRDefault="001C40CF" w:rsidP="00E60878">
      <w:pPr>
        <w:pStyle w:val="BodyTextLeft"/>
        <w:jc w:val="left"/>
        <w:rPr>
          <w:lang w:val="en-CA"/>
        </w:rPr>
      </w:pPr>
      <w:r w:rsidRPr="00081AFF">
        <w:rPr>
          <w:lang w:val="en-CA"/>
        </w:rPr>
        <w:t>“</w:t>
      </w:r>
      <w:r w:rsidRPr="00081AFF">
        <w:rPr>
          <w:u w:val="single"/>
          <w:lang w:val="en-CA"/>
        </w:rPr>
        <w:t>Governmental Body</w:t>
      </w:r>
      <w:r w:rsidRPr="00081AFF">
        <w:rPr>
          <w:lang w:val="en-CA"/>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r w:rsidR="00466064">
        <w:rPr>
          <w:lang w:val="en-CA"/>
        </w:rPr>
        <w:t xml:space="preserve">. </w:t>
      </w:r>
      <w:bookmarkStart w:id="13" w:name="_Hlk523826327"/>
      <w:r w:rsidR="00332784">
        <w:rPr>
          <w:lang w:val="en-CA"/>
        </w:rPr>
        <w:t xml:space="preserve">This definition </w:t>
      </w:r>
      <w:r w:rsidR="00466064">
        <w:rPr>
          <w:lang w:val="en-CA"/>
        </w:rPr>
        <w:t xml:space="preserve">does not include </w:t>
      </w:r>
      <w:r w:rsidR="00332784">
        <w:rPr>
          <w:lang w:val="en-CA"/>
        </w:rPr>
        <w:t>“</w:t>
      </w:r>
      <w:r w:rsidR="00466064">
        <w:rPr>
          <w:lang w:val="en-CA"/>
        </w:rPr>
        <w:t>market participants</w:t>
      </w:r>
      <w:r w:rsidR="00332784">
        <w:rPr>
          <w:lang w:val="en-CA"/>
        </w:rPr>
        <w:t>”</w:t>
      </w:r>
      <w:r w:rsidR="00466064">
        <w:rPr>
          <w:lang w:val="en-CA"/>
        </w:rPr>
        <w:t xml:space="preserve"> as defined </w:t>
      </w:r>
      <w:r w:rsidR="00332784">
        <w:rPr>
          <w:lang w:val="en-CA"/>
        </w:rPr>
        <w:t>in</w:t>
      </w:r>
      <w:r w:rsidR="00466064">
        <w:rPr>
          <w:lang w:val="en-CA"/>
        </w:rPr>
        <w:t xml:space="preserve"> the CAISO</w:t>
      </w:r>
      <w:r w:rsidR="00A52B48">
        <w:rPr>
          <w:lang w:val="en-CA"/>
        </w:rPr>
        <w:t>’s Business Practice Manual for Definitions and Acronyms</w:t>
      </w:r>
      <w:r w:rsidR="000F7DF5">
        <w:rPr>
          <w:lang w:val="en-CA"/>
        </w:rPr>
        <w:t xml:space="preserve"> as published on the CAISO website</w:t>
      </w:r>
      <w:r w:rsidR="00466064">
        <w:rPr>
          <w:lang w:val="en-CA"/>
        </w:rPr>
        <w:t>.</w:t>
      </w:r>
      <w:bookmarkEnd w:id="13"/>
    </w:p>
    <w:p w14:paraId="10C501DB" w14:textId="77777777" w:rsidR="00F51FE1" w:rsidRPr="00081AFF" w:rsidRDefault="001C40CF" w:rsidP="00E60878">
      <w:pPr>
        <w:pStyle w:val="BodyTextLeft"/>
        <w:jc w:val="left"/>
        <w:rPr>
          <w:lang w:val="en-CA"/>
        </w:rPr>
      </w:pPr>
      <w:r w:rsidRPr="00081AFF">
        <w:rPr>
          <w:lang w:val="en-CA"/>
        </w:rPr>
        <w:t>“</w:t>
      </w:r>
      <w:r w:rsidRPr="00081AFF">
        <w:rPr>
          <w:u w:val="single"/>
          <w:lang w:val="en-CA"/>
        </w:rPr>
        <w:t>Local RAR</w:t>
      </w:r>
      <w:r w:rsidRPr="00081AFF">
        <w:rPr>
          <w:lang w:val="en-CA"/>
        </w:rPr>
        <w:t>” means the local resource adequacy requirements established for LSEs by the CPUC pursuant to the CPUC Decisions, by CAISO pursuant to the Tariff, or by any other Governmental Body having jurisdiction.  Local RAR may also be known as local area reliability, local resource adequacy, local resource adequacy procurement requirements, or local capacity requirement in other regulatory proceedings or legislative actions.</w:t>
      </w:r>
    </w:p>
    <w:p w14:paraId="70E4F48A" w14:textId="77777777" w:rsidR="00F51FE1" w:rsidRPr="00081AFF" w:rsidRDefault="001C40CF" w:rsidP="00E60878">
      <w:pPr>
        <w:pStyle w:val="BodyTextLeft"/>
        <w:jc w:val="left"/>
        <w:rPr>
          <w:lang w:val="en-CA"/>
        </w:rPr>
      </w:pPr>
      <w:r w:rsidRPr="00081AFF">
        <w:rPr>
          <w:lang w:val="en-CA"/>
        </w:rPr>
        <w:t>“</w:t>
      </w:r>
      <w:r w:rsidRPr="00081AFF">
        <w:rPr>
          <w:u w:val="single"/>
          <w:lang w:val="en-CA"/>
        </w:rPr>
        <w:t>LSE</w:t>
      </w:r>
      <w:r w:rsidRPr="00081AFF">
        <w:rPr>
          <w:lang w:val="en-CA"/>
        </w:rPr>
        <w:t xml:space="preserve">” means “Load Serving Entity” as such term is defined in the Tariff.  </w:t>
      </w:r>
    </w:p>
    <w:p w14:paraId="1A864500" w14:textId="77777777" w:rsidR="00F51FE1" w:rsidRPr="00081AFF" w:rsidRDefault="001C40CF" w:rsidP="00E60878">
      <w:pPr>
        <w:pStyle w:val="BodyTextLeft"/>
        <w:jc w:val="left"/>
        <w:rPr>
          <w:lang w:val="en-CA"/>
        </w:rPr>
      </w:pPr>
      <w:r w:rsidRPr="00F51FE1">
        <w:rPr>
          <w:lang w:val="en-CA"/>
        </w:rPr>
        <w:t>“</w:t>
      </w:r>
      <w:r w:rsidRPr="00081AFF">
        <w:rPr>
          <w:u w:val="single"/>
          <w:lang w:val="en-CA"/>
        </w:rPr>
        <w:t>Marketable Emission Trading Credits</w:t>
      </w:r>
      <w:r w:rsidRPr="00F51FE1">
        <w:rPr>
          <w:lang w:val="en-CA"/>
        </w:rPr>
        <w:t>”</w:t>
      </w:r>
      <w:r w:rsidRPr="00081AFF">
        <w:rPr>
          <w:lang w:val="en-CA"/>
        </w:rPr>
        <w:t xml:space="preserve">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2C11D603" w14:textId="77777777" w:rsidR="00F51FE1" w:rsidRPr="00081AFF" w:rsidRDefault="001C40CF" w:rsidP="00E60878">
      <w:pPr>
        <w:pStyle w:val="BodyTextLeft"/>
        <w:jc w:val="left"/>
        <w:rPr>
          <w:lang w:val="en-CA"/>
        </w:rPr>
      </w:pPr>
      <w:r w:rsidRPr="00081AFF">
        <w:rPr>
          <w:lang w:val="en-CA"/>
        </w:rPr>
        <w:t>“</w:t>
      </w:r>
      <w:r w:rsidRPr="00081AFF">
        <w:rPr>
          <w:u w:val="single"/>
          <w:lang w:val="en-CA"/>
        </w:rPr>
        <w:t>Master Agreement</w:t>
      </w:r>
      <w:r w:rsidRPr="00081AFF">
        <w:rPr>
          <w:lang w:val="en-CA"/>
        </w:rPr>
        <w:t>” is defined in the introductory paragraph of this Confirmation.</w:t>
      </w:r>
    </w:p>
    <w:p w14:paraId="434BEFBB" w14:textId="77777777" w:rsidR="00F51FE1" w:rsidRPr="00081AFF" w:rsidRDefault="001C40CF" w:rsidP="00E60878">
      <w:pPr>
        <w:pStyle w:val="BodyTextLeft"/>
        <w:jc w:val="left"/>
        <w:rPr>
          <w:lang w:val="en-CA"/>
        </w:rPr>
      </w:pPr>
      <w:r w:rsidRPr="00081AFF">
        <w:rPr>
          <w:lang w:val="en-CA"/>
        </w:rPr>
        <w:t>“</w:t>
      </w:r>
      <w:r w:rsidRPr="00081AFF">
        <w:rPr>
          <w:u w:val="single"/>
          <w:lang w:val="en-CA"/>
        </w:rPr>
        <w:t>Monthly Payment</w:t>
      </w:r>
      <w:r w:rsidRPr="00081AFF">
        <w:rPr>
          <w:lang w:val="en-CA"/>
        </w:rPr>
        <w:t>” is defined in Section 3.1</w:t>
      </w:r>
      <w:r w:rsidR="00FB71B0">
        <w:rPr>
          <w:lang w:val="en-CA"/>
        </w:rPr>
        <w:t xml:space="preserve"> of this Confirmation</w:t>
      </w:r>
      <w:r w:rsidRPr="00081AFF">
        <w:rPr>
          <w:lang w:val="en-CA"/>
        </w:rPr>
        <w:t>.</w:t>
      </w:r>
    </w:p>
    <w:p w14:paraId="5338AD14" w14:textId="77777777" w:rsidR="00A274C6" w:rsidRPr="00A274C6" w:rsidRDefault="001C40CF" w:rsidP="00E60878">
      <w:pPr>
        <w:pStyle w:val="BodyTextLeft"/>
        <w:jc w:val="left"/>
        <w:rPr>
          <w:lang w:val="en-CA"/>
        </w:rPr>
      </w:pPr>
      <w:r w:rsidRPr="00081AFF">
        <w:rPr>
          <w:lang w:val="en-CA"/>
        </w:rPr>
        <w:t>“</w:t>
      </w:r>
      <w:r w:rsidRPr="00081AFF">
        <w:rPr>
          <w:u w:val="single"/>
          <w:lang w:val="en-CA"/>
        </w:rPr>
        <w:t>MW</w:t>
      </w:r>
      <w:r w:rsidRPr="00081AFF">
        <w:rPr>
          <w:lang w:val="en-CA"/>
        </w:rPr>
        <w:t>” means megawatt.</w:t>
      </w:r>
    </w:p>
    <w:p w14:paraId="0C27A8A6" w14:textId="77777777" w:rsidR="009236C9" w:rsidRDefault="001C40CF" w:rsidP="00E60878">
      <w:pPr>
        <w:pStyle w:val="BodyTextLeft"/>
        <w:jc w:val="left"/>
        <w:rPr>
          <w:lang w:val="en-CA"/>
        </w:rPr>
      </w:pPr>
      <w:r>
        <w:rPr>
          <w:lang w:val="en-CA"/>
        </w:rPr>
        <w:t>“</w:t>
      </w:r>
      <w:r>
        <w:rPr>
          <w:u w:val="single"/>
          <w:lang w:val="en-CA"/>
        </w:rPr>
        <w:t>Path</w:t>
      </w:r>
      <w:r>
        <w:rPr>
          <w:lang w:val="en-CA"/>
        </w:rPr>
        <w:t xml:space="preserve">” </w:t>
      </w:r>
      <w:r w:rsidR="009B47C5">
        <w:t>refers to the Path 26 transmission constraint which is surrounded by two zones; North of Path 26 (PG&amp;E’s TAC) and South of Path 26 (SCE and SDG&amp;E’s TACs), as identified by the Commission in D.07-06-029</w:t>
      </w:r>
      <w:r w:rsidR="009B47C5">
        <w:rPr>
          <w:lang w:val="en-CA"/>
        </w:rPr>
        <w:t>.</w:t>
      </w:r>
    </w:p>
    <w:p w14:paraId="687D9A0E" w14:textId="77777777" w:rsidR="00180054" w:rsidRPr="009236C9" w:rsidRDefault="001C40CF" w:rsidP="00E60878">
      <w:pPr>
        <w:pStyle w:val="BodyTextLeft"/>
        <w:jc w:val="left"/>
        <w:rPr>
          <w:lang w:val="en-CA"/>
        </w:rPr>
      </w:pPr>
      <w:r>
        <w:rPr>
          <w:lang w:val="en-CA"/>
        </w:rPr>
        <w:t>“</w:t>
      </w:r>
      <w:r w:rsidRPr="001B4463">
        <w:rPr>
          <w:u w:val="single"/>
          <w:lang w:val="en-CA"/>
        </w:rPr>
        <w:t>Planned Outage</w:t>
      </w:r>
      <w:r>
        <w:rPr>
          <w:lang w:val="en-CA"/>
        </w:rPr>
        <w:t xml:space="preserve">” means any outage that was submitted to the CAISO for approval at least eight (8) calendar days prior to the outage start date. </w:t>
      </w:r>
    </w:p>
    <w:p w14:paraId="358BFC4E" w14:textId="77777777" w:rsidR="00F51FE1" w:rsidRPr="00081AFF" w:rsidRDefault="001C40CF" w:rsidP="00E60878">
      <w:pPr>
        <w:pStyle w:val="BodyTextLeft"/>
        <w:jc w:val="left"/>
        <w:rPr>
          <w:lang w:val="en-CA"/>
        </w:rPr>
      </w:pPr>
      <w:r w:rsidRPr="00F51FE1">
        <w:rPr>
          <w:lang w:val="en-CA"/>
        </w:rPr>
        <w:t>“</w:t>
      </w:r>
      <w:r w:rsidRPr="00081AFF">
        <w:rPr>
          <w:u w:val="single"/>
          <w:lang w:val="en-CA"/>
        </w:rPr>
        <w:t>Procurement Review Group</w:t>
      </w:r>
      <w:r w:rsidRPr="00F51FE1">
        <w:rPr>
          <w:lang w:val="en-CA"/>
        </w:rPr>
        <w:t>”</w:t>
      </w:r>
      <w:r w:rsidRPr="00081AFF">
        <w:rPr>
          <w:lang w:val="en-CA"/>
        </w:rPr>
        <w:t xml:space="preserve"> has the meaning set forth in CPUC Decision D. 02-08-071. </w:t>
      </w:r>
    </w:p>
    <w:p w14:paraId="565B016B" w14:textId="77777777" w:rsidR="00F51FE1" w:rsidRPr="00081AFF" w:rsidRDefault="001C40CF" w:rsidP="00E60878">
      <w:pPr>
        <w:pStyle w:val="BodyTextLeft"/>
        <w:jc w:val="left"/>
        <w:rPr>
          <w:lang w:val="en-CA"/>
        </w:rPr>
      </w:pPr>
      <w:r w:rsidRPr="00081AFF">
        <w:rPr>
          <w:lang w:val="en-CA"/>
        </w:rPr>
        <w:lastRenderedPageBreak/>
        <w:t>“</w:t>
      </w:r>
      <w:r w:rsidRPr="00081AFF">
        <w:rPr>
          <w:u w:val="single"/>
          <w:lang w:val="en-CA"/>
        </w:rPr>
        <w:t>Product</w:t>
      </w:r>
      <w:r w:rsidRPr="00081AFF">
        <w:rPr>
          <w:lang w:val="en-CA"/>
        </w:rPr>
        <w:t>” is defined in Article 1</w:t>
      </w:r>
      <w:r w:rsidR="00FB71B0">
        <w:rPr>
          <w:lang w:val="en-CA"/>
        </w:rPr>
        <w:t xml:space="preserve"> of this Confirmation</w:t>
      </w:r>
      <w:r w:rsidRPr="00081AFF">
        <w:rPr>
          <w:lang w:val="en-CA"/>
        </w:rPr>
        <w:t>.</w:t>
      </w:r>
    </w:p>
    <w:p w14:paraId="7C5251D7" w14:textId="77777777" w:rsidR="00F51FE1" w:rsidRPr="00081AFF" w:rsidRDefault="001C40CF" w:rsidP="00E60878">
      <w:pPr>
        <w:pStyle w:val="BodyTextLeft"/>
        <w:jc w:val="left"/>
        <w:rPr>
          <w:lang w:val="en-CA"/>
        </w:rPr>
      </w:pPr>
      <w:r w:rsidRPr="00081AFF">
        <w:rPr>
          <w:lang w:val="en-CA"/>
        </w:rPr>
        <w:t>“</w:t>
      </w:r>
      <w:r w:rsidRPr="00081AFF">
        <w:rPr>
          <w:u w:val="single"/>
          <w:lang w:val="en-CA"/>
        </w:rPr>
        <w:t>RAR</w:t>
      </w:r>
      <w:r w:rsidRPr="00081AFF">
        <w:rPr>
          <w:lang w:val="en-CA"/>
        </w:rPr>
        <w:t>” means the resource adequacy requirements established for LSEs by the CPUC pursuant to the CPUC Decisions, by CAISO pursuant to the Tariff, or by any other Governmental Body having jurisdiction.</w:t>
      </w:r>
    </w:p>
    <w:p w14:paraId="7D1A9B7D" w14:textId="77777777" w:rsidR="0010769F" w:rsidRPr="0010769F" w:rsidRDefault="001C40CF" w:rsidP="00E60878">
      <w:pPr>
        <w:pStyle w:val="BodyTextLeft"/>
        <w:jc w:val="left"/>
        <w:rPr>
          <w:lang w:val="en-CA"/>
        </w:rPr>
      </w:pPr>
      <w:r>
        <w:rPr>
          <w:lang w:val="en-CA"/>
        </w:rPr>
        <w:t>“</w:t>
      </w:r>
      <w:r>
        <w:rPr>
          <w:u w:val="single"/>
          <w:lang w:val="en-CA"/>
        </w:rPr>
        <w:t>Re-sale Plan</w:t>
      </w:r>
      <w:r>
        <w:rPr>
          <w:lang w:val="en-CA"/>
        </w:rPr>
        <w:t>” is defined in Section 2.7(b)</w:t>
      </w:r>
      <w:r w:rsidR="00FB71B0">
        <w:rPr>
          <w:lang w:val="en-CA"/>
        </w:rPr>
        <w:t xml:space="preserve"> of this Confirmation</w:t>
      </w:r>
      <w:r>
        <w:rPr>
          <w:lang w:val="en-CA"/>
        </w:rPr>
        <w:t>.</w:t>
      </w:r>
    </w:p>
    <w:p w14:paraId="00CC0A51" w14:textId="38CC9771" w:rsidR="00F51FE1" w:rsidRDefault="001C40CF" w:rsidP="00E60878">
      <w:pPr>
        <w:pStyle w:val="BodyTextLeft"/>
        <w:jc w:val="left"/>
        <w:rPr>
          <w:lang w:val="en-CA"/>
        </w:rPr>
      </w:pPr>
      <w:r w:rsidRPr="00081AFF">
        <w:rPr>
          <w:lang w:val="en-CA"/>
        </w:rPr>
        <w:t>“</w:t>
      </w:r>
      <w:r w:rsidRPr="00081AFF">
        <w:rPr>
          <w:u w:val="single"/>
          <w:lang w:val="en-CA"/>
        </w:rPr>
        <w:t>Resold Product</w:t>
      </w:r>
      <w:r w:rsidR="000114FE">
        <w:rPr>
          <w:lang w:val="en-CA"/>
        </w:rPr>
        <w:t>” is defined in Section 2.7</w:t>
      </w:r>
      <w:r w:rsidR="00FB71B0">
        <w:rPr>
          <w:lang w:val="en-CA"/>
        </w:rPr>
        <w:t xml:space="preserve"> of this Confirmation</w:t>
      </w:r>
      <w:r w:rsidRPr="00081AFF">
        <w:rPr>
          <w:lang w:val="en-CA"/>
        </w:rPr>
        <w:t>.</w:t>
      </w:r>
    </w:p>
    <w:p w14:paraId="385FCD5C" w14:textId="77777777" w:rsidR="00C36913" w:rsidRPr="00510AD0" w:rsidRDefault="00C36913" w:rsidP="00C36913">
      <w:pPr>
        <w:pStyle w:val="BodyTextLeft"/>
      </w:pPr>
      <w:r w:rsidRPr="00510AD0">
        <w:t>“</w:t>
      </w:r>
      <w:r w:rsidRPr="00C36913">
        <w:rPr>
          <w:u w:val="single"/>
        </w:rPr>
        <w:t>RMR Generation</w:t>
      </w:r>
      <w:r w:rsidRPr="00510AD0">
        <w:t>” has the meaning set forth in the CAISO Tariff.</w:t>
      </w:r>
    </w:p>
    <w:p w14:paraId="5CEB0373" w14:textId="73636AFD" w:rsidR="00EB2457" w:rsidRDefault="001C40CF" w:rsidP="00E60878">
      <w:pPr>
        <w:pStyle w:val="BodyTextLeft"/>
        <w:jc w:val="left"/>
        <w:rPr>
          <w:lang w:val="en-CA"/>
        </w:rPr>
      </w:pPr>
      <w:r>
        <w:rPr>
          <w:lang w:val="en-CA"/>
        </w:rPr>
        <w:t>“</w:t>
      </w:r>
      <w:r w:rsidRPr="001B4463">
        <w:rPr>
          <w:u w:val="single"/>
          <w:lang w:val="en-CA"/>
        </w:rPr>
        <w:t xml:space="preserve">SCID of Benefitting </w:t>
      </w:r>
      <w:r w:rsidR="007635A0">
        <w:rPr>
          <w:u w:val="single"/>
          <w:lang w:val="en-CA"/>
        </w:rPr>
        <w:t>Entity</w:t>
      </w:r>
      <w:r w:rsidRPr="001B4463">
        <w:rPr>
          <w:u w:val="single"/>
          <w:lang w:val="en-CA"/>
        </w:rPr>
        <w:t>”</w:t>
      </w:r>
      <w:r>
        <w:rPr>
          <w:lang w:val="en-CA"/>
        </w:rPr>
        <w:t xml:space="preserve"> means the Scheduling Coordinator ID Code (SCID) of the </w:t>
      </w:r>
      <w:r w:rsidR="008B19A6">
        <w:rPr>
          <w:lang w:val="en-CA"/>
        </w:rPr>
        <w:t>entity</w:t>
      </w:r>
      <w:r>
        <w:rPr>
          <w:lang w:val="en-CA"/>
        </w:rPr>
        <w:t xml:space="preserve"> that will be using the Product toward meeting their RAR in the given Showing Month. </w:t>
      </w:r>
    </w:p>
    <w:p w14:paraId="23D052CA" w14:textId="77777777" w:rsidR="00F51FE1" w:rsidRPr="00081AFF" w:rsidRDefault="001C40CF" w:rsidP="00E60878">
      <w:pPr>
        <w:pStyle w:val="BodyTextLeft"/>
        <w:jc w:val="left"/>
        <w:rPr>
          <w:lang w:val="en-CA"/>
        </w:rPr>
      </w:pPr>
      <w:r w:rsidRPr="00081AFF">
        <w:rPr>
          <w:lang w:val="en-CA"/>
        </w:rPr>
        <w:t>“</w:t>
      </w:r>
      <w:r w:rsidRPr="00081AFF">
        <w:rPr>
          <w:u w:val="single"/>
          <w:lang w:val="en-CA"/>
        </w:rPr>
        <w:t>Showing Month</w:t>
      </w:r>
      <w:r w:rsidRPr="00081AFF">
        <w:rPr>
          <w:lang w:val="en-CA"/>
        </w:rPr>
        <w:t xml:space="preserve">” means the calendar month that is the subject of the related Compliance Showing, as set forth in the CPUC Decisions and outlined in the Tariff.  For illustrative purposes only, pursuant to the Tariff and CPUC Decisions in effect as of the Confirmation Effective Date, the monthly Compliance Showing made in June is for the Showing Month of August. </w:t>
      </w:r>
    </w:p>
    <w:p w14:paraId="0A04CE40" w14:textId="77777777" w:rsidR="00F51FE1" w:rsidRDefault="001C40CF" w:rsidP="00E60878">
      <w:pPr>
        <w:pStyle w:val="BodyTextLeft"/>
        <w:jc w:val="left"/>
        <w:rPr>
          <w:lang w:val="en-CA"/>
        </w:rPr>
      </w:pPr>
      <w:r w:rsidRPr="00081AFF">
        <w:rPr>
          <w:lang w:val="en-CA"/>
        </w:rPr>
        <w:t>“</w:t>
      </w:r>
      <w:r w:rsidRPr="00081AFF">
        <w:rPr>
          <w:u w:val="single"/>
          <w:lang w:val="en-CA"/>
        </w:rPr>
        <w:t>Shown Unit</w:t>
      </w:r>
      <w:r w:rsidRPr="00081AFF">
        <w:rPr>
          <w:lang w:val="en-CA"/>
        </w:rPr>
        <w:t xml:space="preserve">” means a Unit specified by Seller in a </w:t>
      </w:r>
      <w:r w:rsidR="00ED4898">
        <w:rPr>
          <w:lang w:val="en-CA"/>
        </w:rPr>
        <w:t>Supply Plan</w:t>
      </w:r>
      <w:r w:rsidRPr="00081AFF">
        <w:rPr>
          <w:lang w:val="en-CA"/>
        </w:rPr>
        <w:t xml:space="preserve">, but not necessarily identified by Seller to Buyer on the Confirmation Effective Date. </w:t>
      </w:r>
    </w:p>
    <w:p w14:paraId="75692FEF" w14:textId="77777777" w:rsidR="000D67EE" w:rsidRDefault="001C40CF" w:rsidP="00E60878">
      <w:pPr>
        <w:pStyle w:val="BodyTextLeft"/>
        <w:jc w:val="left"/>
        <w:rPr>
          <w:lang w:val="en-CA"/>
        </w:rPr>
      </w:pPr>
      <w:r>
        <w:rPr>
          <w:lang w:val="en-CA"/>
        </w:rPr>
        <w:t>“</w:t>
      </w:r>
      <w:r>
        <w:rPr>
          <w:u w:val="single"/>
          <w:lang w:val="en-CA"/>
        </w:rPr>
        <w:t>Substitute Capacity</w:t>
      </w:r>
      <w:r>
        <w:rPr>
          <w:lang w:val="en-CA"/>
        </w:rPr>
        <w:t>” means “RA Substitute Capacity” as defined in the Tariff.</w:t>
      </w:r>
    </w:p>
    <w:p w14:paraId="11A0A845" w14:textId="77777777" w:rsidR="00F51FE1" w:rsidRPr="00081AFF" w:rsidRDefault="001C40CF" w:rsidP="00E60878">
      <w:pPr>
        <w:pStyle w:val="BodyTextLeft"/>
        <w:jc w:val="left"/>
        <w:rPr>
          <w:lang w:val="en-CA"/>
        </w:rPr>
      </w:pPr>
      <w:r w:rsidRPr="00081AFF">
        <w:rPr>
          <w:lang w:val="en-CA"/>
        </w:rPr>
        <w:t>“</w:t>
      </w:r>
      <w:r w:rsidRPr="00081AFF">
        <w:rPr>
          <w:u w:val="single"/>
          <w:lang w:val="en-CA"/>
        </w:rPr>
        <w:t>Tariff</w:t>
      </w:r>
      <w:r w:rsidRPr="00081AFF">
        <w:rPr>
          <w:lang w:val="en-CA"/>
        </w:rPr>
        <w:t xml:space="preserve">” means the Fifth Replacement FERC Electric Tariff and the associated CAISO protocol provisions, including any current CAISO-published “Operating Procedures” and “Business Practice Manuals,” in each case as amended or supplemented from time to time.  </w:t>
      </w:r>
    </w:p>
    <w:p w14:paraId="5B640E58" w14:textId="77777777" w:rsidR="00F51FE1" w:rsidRPr="00081AFF" w:rsidRDefault="001C40CF" w:rsidP="00E60878">
      <w:pPr>
        <w:pStyle w:val="BodyTextLeft"/>
        <w:jc w:val="left"/>
        <w:rPr>
          <w:lang w:val="en-CA"/>
        </w:rPr>
      </w:pPr>
      <w:r w:rsidRPr="00081AFF">
        <w:rPr>
          <w:lang w:val="en-CA"/>
        </w:rPr>
        <w:t>“</w:t>
      </w:r>
      <w:r w:rsidRPr="00081AFF">
        <w:rPr>
          <w:u w:val="single"/>
          <w:lang w:val="en-CA"/>
        </w:rPr>
        <w:t>Unit</w:t>
      </w:r>
      <w:r w:rsidRPr="00081AFF">
        <w:rPr>
          <w:lang w:val="en-CA"/>
        </w:rPr>
        <w:t xml:space="preserve">” means </w:t>
      </w:r>
      <w:r w:rsidR="00057AAE">
        <w:rPr>
          <w:lang w:val="en-CA"/>
        </w:rPr>
        <w:t xml:space="preserve">any generation unit provided by </w:t>
      </w:r>
      <w:r w:rsidR="00241862">
        <w:rPr>
          <w:lang w:val="en-CA"/>
        </w:rPr>
        <w:t>Seller</w:t>
      </w:r>
      <w:r w:rsidR="00057AAE">
        <w:rPr>
          <w:lang w:val="en-CA"/>
        </w:rPr>
        <w:t xml:space="preserve"> pursuant to Section 2.2 and any Alternate Unit or Shown Unit.</w:t>
      </w:r>
    </w:p>
    <w:p w14:paraId="28873769" w14:textId="77777777" w:rsidR="00F51FE1" w:rsidRPr="00081AFF" w:rsidRDefault="001C40CF" w:rsidP="00E60878">
      <w:pPr>
        <w:pStyle w:val="BodyTextLeft"/>
        <w:jc w:val="left"/>
        <w:rPr>
          <w:lang w:val="en-CA"/>
        </w:rPr>
      </w:pPr>
      <w:r w:rsidRPr="00081AFF">
        <w:rPr>
          <w:lang w:val="en-CA"/>
        </w:rPr>
        <w:t>“</w:t>
      </w:r>
      <w:r w:rsidRPr="00081AFF">
        <w:rPr>
          <w:u w:val="single"/>
          <w:lang w:val="en-CA"/>
        </w:rPr>
        <w:t>Unit EFC</w:t>
      </w:r>
      <w:r w:rsidRPr="00081AFF">
        <w:rPr>
          <w:lang w:val="en-CA"/>
        </w:rPr>
        <w:t>” means, with respect to a Unit on any date of determination, the lesser of the Effective Flexible Capacity of the Unit as set by CAISO as of</w:t>
      </w:r>
      <w:r w:rsidR="006A6A5F">
        <w:rPr>
          <w:lang w:val="en-CA"/>
        </w:rPr>
        <w:t xml:space="preserve"> (</w:t>
      </w:r>
      <w:r w:rsidR="006A6A5F" w:rsidRPr="00081AFF">
        <w:rPr>
          <w:lang w:val="en-CA"/>
        </w:rPr>
        <w:t>x</w:t>
      </w:r>
      <w:r w:rsidR="006A6A5F">
        <w:rPr>
          <w:lang w:val="en-CA"/>
        </w:rPr>
        <w:t>) </w:t>
      </w:r>
      <w:r w:rsidR="006A6A5F" w:rsidRPr="00081AFF">
        <w:rPr>
          <w:lang w:val="en-CA"/>
        </w:rPr>
        <w:t>t</w:t>
      </w:r>
      <w:r w:rsidRPr="00081AFF">
        <w:rPr>
          <w:lang w:val="en-CA"/>
        </w:rPr>
        <w:t>he Confirmation Effective Date and</w:t>
      </w:r>
      <w:r w:rsidR="006A6A5F">
        <w:rPr>
          <w:lang w:val="en-CA"/>
        </w:rPr>
        <w:t xml:space="preserve"> (</w:t>
      </w:r>
      <w:r w:rsidR="006A6A5F" w:rsidRPr="00081AFF">
        <w:rPr>
          <w:lang w:val="en-CA"/>
        </w:rPr>
        <w:t>y</w:t>
      </w:r>
      <w:r w:rsidR="006A6A5F">
        <w:rPr>
          <w:lang w:val="en-CA"/>
        </w:rPr>
        <w:t>) </w:t>
      </w:r>
      <w:r w:rsidR="006A6A5F" w:rsidRPr="00081AFF">
        <w:rPr>
          <w:lang w:val="en-CA"/>
        </w:rPr>
        <w:t>s</w:t>
      </w:r>
      <w:r w:rsidRPr="00081AFF">
        <w:rPr>
          <w:lang w:val="en-CA"/>
        </w:rPr>
        <w:t xml:space="preserve">uch date of determination. </w:t>
      </w:r>
    </w:p>
    <w:p w14:paraId="66659122" w14:textId="77777777" w:rsidR="00F51FE1" w:rsidRDefault="001C40CF" w:rsidP="00E60878">
      <w:pPr>
        <w:pStyle w:val="BodyTextLeft"/>
        <w:jc w:val="left"/>
        <w:rPr>
          <w:szCs w:val="24"/>
        </w:rPr>
        <w:sectPr w:rsidR="00F51FE1" w:rsidSect="000E4C31">
          <w:pgSz w:w="12240" w:h="15840"/>
          <w:pgMar w:top="1440" w:right="1440" w:bottom="1440" w:left="1440" w:header="720" w:footer="720" w:gutter="0"/>
          <w:cols w:space="720"/>
          <w:docGrid w:linePitch="360"/>
        </w:sectPr>
      </w:pPr>
      <w:r w:rsidRPr="00081AFF">
        <w:rPr>
          <w:lang w:val="en-CA"/>
        </w:rPr>
        <w:t>“</w:t>
      </w:r>
      <w:r w:rsidRPr="00081AFF">
        <w:rPr>
          <w:u w:val="single"/>
          <w:lang w:val="en-CA"/>
        </w:rPr>
        <w:t>Unit NQC</w:t>
      </w:r>
      <w:r w:rsidRPr="00081AFF">
        <w:rPr>
          <w:lang w:val="en-CA"/>
        </w:rPr>
        <w:t>” means, with respect to a Unit on any date of determination, the lesser of Net Qualifying Capacity of the Unit as set by CAISO as of</w:t>
      </w:r>
      <w:r w:rsidR="006A6A5F">
        <w:rPr>
          <w:lang w:val="en-CA"/>
        </w:rPr>
        <w:t xml:space="preserve"> (</w:t>
      </w:r>
      <w:r w:rsidR="006A6A5F" w:rsidRPr="00081AFF">
        <w:rPr>
          <w:lang w:val="en-CA"/>
        </w:rPr>
        <w:t>x</w:t>
      </w:r>
      <w:r w:rsidR="006A6A5F">
        <w:rPr>
          <w:lang w:val="en-CA"/>
        </w:rPr>
        <w:t>) </w:t>
      </w:r>
      <w:r w:rsidR="006A6A5F" w:rsidRPr="00081AFF">
        <w:rPr>
          <w:lang w:val="en-CA"/>
        </w:rPr>
        <w:t>t</w:t>
      </w:r>
      <w:r w:rsidRPr="00081AFF">
        <w:rPr>
          <w:lang w:val="en-CA"/>
        </w:rPr>
        <w:t>he Confirmation Effective Date and</w:t>
      </w:r>
      <w:r w:rsidR="006A6A5F">
        <w:rPr>
          <w:lang w:val="en-CA"/>
        </w:rPr>
        <w:t xml:space="preserve"> (</w:t>
      </w:r>
      <w:r w:rsidR="006A6A5F" w:rsidRPr="00081AFF">
        <w:rPr>
          <w:lang w:val="en-CA"/>
        </w:rPr>
        <w:t>y</w:t>
      </w:r>
      <w:r w:rsidR="006A6A5F">
        <w:rPr>
          <w:lang w:val="en-CA"/>
        </w:rPr>
        <w:t>) </w:t>
      </w:r>
      <w:r w:rsidR="006A6A5F" w:rsidRPr="00081AFF">
        <w:rPr>
          <w:lang w:val="en-CA"/>
        </w:rPr>
        <w:t>s</w:t>
      </w:r>
      <w:r w:rsidRPr="00081AFF">
        <w:rPr>
          <w:lang w:val="en-CA"/>
        </w:rPr>
        <w:t>uch date of determination.</w:t>
      </w:r>
    </w:p>
    <w:p w14:paraId="617DA4F5" w14:textId="77777777" w:rsidR="00F51FE1" w:rsidRPr="00081AFF" w:rsidRDefault="001C40CF" w:rsidP="008E1980">
      <w:pPr>
        <w:widowControl w:val="0"/>
        <w:jc w:val="center"/>
        <w:rPr>
          <w:b/>
          <w:bCs/>
          <w:caps/>
          <w:szCs w:val="24"/>
          <w:lang w:val="en-CA"/>
        </w:rPr>
      </w:pPr>
      <w:r w:rsidRPr="00081AFF">
        <w:rPr>
          <w:b/>
          <w:bCs/>
          <w:caps/>
          <w:szCs w:val="24"/>
          <w:lang w:val="en-CA"/>
        </w:rPr>
        <w:lastRenderedPageBreak/>
        <w:t>APPENDIX B</w:t>
      </w:r>
    </w:p>
    <w:p w14:paraId="2C2E4284" w14:textId="77777777" w:rsidR="00F51FE1" w:rsidRPr="002D1A01" w:rsidRDefault="001C40CF" w:rsidP="008E1980">
      <w:pPr>
        <w:widowControl w:val="0"/>
        <w:jc w:val="center"/>
        <w:outlineLvl w:val="0"/>
        <w:rPr>
          <w:b/>
          <w:bCs/>
          <w:caps/>
          <w:szCs w:val="24"/>
          <w:u w:val="single"/>
        </w:rPr>
      </w:pPr>
      <w:r w:rsidRPr="002D1A01">
        <w:rPr>
          <w:b/>
          <w:bCs/>
          <w:caps/>
          <w:szCs w:val="24"/>
          <w:u w:val="single"/>
        </w:rPr>
        <w:t>PRODUCT and Price information</w:t>
      </w:r>
    </w:p>
    <w:p w14:paraId="05BA90EE" w14:textId="77777777" w:rsidR="00F51FE1" w:rsidRDefault="00F51FE1" w:rsidP="008E1980">
      <w:pPr>
        <w:widowControl w:val="0"/>
        <w:rPr>
          <w:b/>
          <w:szCs w:val="24"/>
        </w:rPr>
      </w:pPr>
    </w:p>
    <w:p w14:paraId="6156BF2B" w14:textId="77777777" w:rsidR="00EB2457" w:rsidRDefault="001C40CF" w:rsidP="003F1923">
      <w:pPr>
        <w:widowControl w:val="0"/>
        <w:jc w:val="left"/>
        <w:rPr>
          <w:szCs w:val="24"/>
        </w:rPr>
      </w:pPr>
      <w:r>
        <w:rPr>
          <w:szCs w:val="24"/>
          <w:u w:val="single"/>
        </w:rPr>
        <w:t xml:space="preserve">Product means Capacity </w:t>
      </w:r>
      <w:r w:rsidR="00FD3D00">
        <w:rPr>
          <w:szCs w:val="24"/>
          <w:u w:val="single"/>
        </w:rPr>
        <w:t xml:space="preserve">Attributes </w:t>
      </w:r>
      <w:r>
        <w:rPr>
          <w:szCs w:val="24"/>
          <w:u w:val="single"/>
        </w:rPr>
        <w:t>with the following characteristics.</w:t>
      </w:r>
    </w:p>
    <w:p w14:paraId="57F0C41D" w14:textId="77777777" w:rsidR="00EB2457" w:rsidRDefault="00EB2457" w:rsidP="00974F8E">
      <w:pPr>
        <w:tabs>
          <w:tab w:val="left" w:pos="975"/>
        </w:tabs>
        <w:rPr>
          <w:szCs w:val="24"/>
        </w:rPr>
      </w:pPr>
    </w:p>
    <w:tbl>
      <w:tblPr>
        <w:tblW w:w="9468" w:type="dxa"/>
        <w:tblInd w:w="-10" w:type="dxa"/>
        <w:tblLook w:val="04A0" w:firstRow="1" w:lastRow="0" w:firstColumn="1" w:lastColumn="0" w:noHBand="0" w:noVBand="1"/>
      </w:tblPr>
      <w:tblGrid>
        <w:gridCol w:w="1250"/>
        <w:gridCol w:w="1074"/>
        <w:gridCol w:w="1137"/>
        <w:gridCol w:w="1136"/>
        <w:gridCol w:w="1197"/>
        <w:gridCol w:w="1163"/>
        <w:gridCol w:w="1161"/>
        <w:gridCol w:w="1350"/>
      </w:tblGrid>
      <w:tr w:rsidR="002D1676" w14:paraId="1EF0498F" w14:textId="77777777" w:rsidTr="003F1923">
        <w:trPr>
          <w:trHeight w:val="860"/>
        </w:trPr>
        <w:tc>
          <w:tcPr>
            <w:tcW w:w="12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AA0712A" w14:textId="77777777" w:rsidR="003F1923" w:rsidRDefault="001C40CF">
            <w:pPr>
              <w:jc w:val="center"/>
              <w:rPr>
                <w:b/>
                <w:bCs/>
                <w:color w:val="000000"/>
                <w:szCs w:val="24"/>
              </w:rPr>
            </w:pPr>
            <w:r>
              <w:rPr>
                <w:b/>
                <w:bCs/>
                <w:color w:val="000000"/>
                <w:szCs w:val="24"/>
              </w:rPr>
              <w:t>Showing Month and Year</w:t>
            </w:r>
          </w:p>
        </w:tc>
        <w:tc>
          <w:tcPr>
            <w:tcW w:w="107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8222FED" w14:textId="77777777" w:rsidR="003F1923" w:rsidRDefault="001C40CF">
            <w:pPr>
              <w:jc w:val="center"/>
              <w:rPr>
                <w:b/>
                <w:bCs/>
                <w:color w:val="000000"/>
                <w:szCs w:val="24"/>
              </w:rPr>
            </w:pPr>
            <w:r>
              <w:rPr>
                <w:b/>
                <w:bCs/>
                <w:color w:val="000000"/>
                <w:szCs w:val="24"/>
              </w:rPr>
              <w:t>Path (North, South)</w:t>
            </w:r>
          </w:p>
        </w:tc>
        <w:tc>
          <w:tcPr>
            <w:tcW w:w="1137" w:type="dxa"/>
            <w:tcBorders>
              <w:top w:val="single" w:sz="8" w:space="0" w:color="auto"/>
              <w:left w:val="nil"/>
              <w:bottom w:val="single" w:sz="8" w:space="0" w:color="auto"/>
              <w:right w:val="single" w:sz="8" w:space="0" w:color="auto"/>
            </w:tcBorders>
            <w:shd w:val="clear" w:color="auto" w:fill="D9D9D9"/>
            <w:vAlign w:val="center"/>
            <w:hideMark/>
          </w:tcPr>
          <w:p w14:paraId="22955E82" w14:textId="77777777" w:rsidR="003F1923" w:rsidRDefault="001C40CF">
            <w:pPr>
              <w:jc w:val="center"/>
              <w:rPr>
                <w:b/>
                <w:bCs/>
                <w:color w:val="000000"/>
                <w:szCs w:val="24"/>
              </w:rPr>
            </w:pPr>
            <w:r>
              <w:rPr>
                <w:b/>
                <w:bCs/>
                <w:color w:val="000000"/>
                <w:szCs w:val="24"/>
              </w:rPr>
              <w:t>RAR Quantity (MW)</w:t>
            </w:r>
          </w:p>
        </w:tc>
        <w:tc>
          <w:tcPr>
            <w:tcW w:w="1136" w:type="dxa"/>
            <w:tcBorders>
              <w:top w:val="single" w:sz="8" w:space="0" w:color="auto"/>
              <w:left w:val="nil"/>
              <w:bottom w:val="single" w:sz="8" w:space="0" w:color="auto"/>
              <w:right w:val="single" w:sz="8" w:space="0" w:color="auto"/>
            </w:tcBorders>
            <w:shd w:val="clear" w:color="auto" w:fill="D9D9D9"/>
            <w:vAlign w:val="center"/>
            <w:hideMark/>
          </w:tcPr>
          <w:p w14:paraId="575758AC" w14:textId="77777777" w:rsidR="003F1923" w:rsidRDefault="001C40CF">
            <w:pPr>
              <w:jc w:val="center"/>
              <w:rPr>
                <w:b/>
                <w:bCs/>
                <w:color w:val="000000"/>
                <w:szCs w:val="24"/>
              </w:rPr>
            </w:pPr>
            <w:r>
              <w:rPr>
                <w:b/>
                <w:bCs/>
                <w:color w:val="000000"/>
                <w:szCs w:val="24"/>
              </w:rPr>
              <w:t>Capacity Area*</w:t>
            </w:r>
          </w:p>
        </w:tc>
        <w:tc>
          <w:tcPr>
            <w:tcW w:w="1197" w:type="dxa"/>
            <w:tcBorders>
              <w:top w:val="single" w:sz="8" w:space="0" w:color="auto"/>
              <w:left w:val="nil"/>
              <w:bottom w:val="single" w:sz="8" w:space="0" w:color="auto"/>
              <w:right w:val="single" w:sz="8" w:space="0" w:color="auto"/>
            </w:tcBorders>
            <w:shd w:val="clear" w:color="auto" w:fill="D9D9D9"/>
            <w:vAlign w:val="center"/>
            <w:hideMark/>
          </w:tcPr>
          <w:p w14:paraId="4CF1A835" w14:textId="77777777" w:rsidR="003F1923" w:rsidRDefault="001C40CF">
            <w:pPr>
              <w:jc w:val="center"/>
              <w:rPr>
                <w:b/>
                <w:bCs/>
                <w:color w:val="000000"/>
                <w:szCs w:val="24"/>
              </w:rPr>
            </w:pPr>
            <w:r>
              <w:rPr>
                <w:b/>
                <w:bCs/>
                <w:color w:val="000000"/>
                <w:szCs w:val="24"/>
              </w:rPr>
              <w:t>FCR Quantity, if any (MW)</w:t>
            </w:r>
          </w:p>
        </w:tc>
        <w:tc>
          <w:tcPr>
            <w:tcW w:w="1163" w:type="dxa"/>
            <w:tcBorders>
              <w:top w:val="single" w:sz="8" w:space="0" w:color="auto"/>
              <w:left w:val="nil"/>
              <w:bottom w:val="single" w:sz="8" w:space="0" w:color="auto"/>
              <w:right w:val="single" w:sz="8" w:space="0" w:color="auto"/>
            </w:tcBorders>
            <w:shd w:val="clear" w:color="auto" w:fill="D9D9D9"/>
            <w:vAlign w:val="center"/>
            <w:hideMark/>
          </w:tcPr>
          <w:p w14:paraId="6DCEDE68" w14:textId="77777777" w:rsidR="003F1923" w:rsidRDefault="001C40CF">
            <w:pPr>
              <w:jc w:val="center"/>
              <w:rPr>
                <w:b/>
                <w:bCs/>
                <w:color w:val="000000"/>
                <w:szCs w:val="24"/>
              </w:rPr>
            </w:pPr>
            <w:r>
              <w:rPr>
                <w:b/>
                <w:bCs/>
                <w:color w:val="000000"/>
                <w:szCs w:val="24"/>
              </w:rPr>
              <w:t>Flexible Capacity Category (1,2,3)</w:t>
            </w:r>
          </w:p>
        </w:tc>
        <w:tc>
          <w:tcPr>
            <w:tcW w:w="1161" w:type="dxa"/>
            <w:tcBorders>
              <w:top w:val="single" w:sz="8" w:space="0" w:color="auto"/>
              <w:left w:val="nil"/>
              <w:bottom w:val="single" w:sz="8" w:space="0" w:color="auto"/>
              <w:right w:val="single" w:sz="8" w:space="0" w:color="auto"/>
            </w:tcBorders>
            <w:shd w:val="clear" w:color="auto" w:fill="D9D9D9"/>
            <w:vAlign w:val="center"/>
            <w:hideMark/>
          </w:tcPr>
          <w:p w14:paraId="34371DDD" w14:textId="77777777" w:rsidR="003F1923" w:rsidRDefault="001C40CF">
            <w:pPr>
              <w:jc w:val="center"/>
              <w:rPr>
                <w:b/>
                <w:bCs/>
                <w:color w:val="000000"/>
                <w:szCs w:val="24"/>
              </w:rPr>
            </w:pPr>
            <w:r>
              <w:rPr>
                <w:b/>
                <w:bCs/>
                <w:color w:val="000000"/>
                <w:szCs w:val="24"/>
              </w:rPr>
              <w:t>Contract Price ($/kW-month)</w:t>
            </w:r>
          </w:p>
        </w:tc>
        <w:tc>
          <w:tcPr>
            <w:tcW w:w="1350" w:type="dxa"/>
            <w:tcBorders>
              <w:top w:val="single" w:sz="8" w:space="0" w:color="auto"/>
              <w:left w:val="nil"/>
              <w:bottom w:val="single" w:sz="8" w:space="0" w:color="auto"/>
              <w:right w:val="single" w:sz="8" w:space="0" w:color="auto"/>
            </w:tcBorders>
            <w:shd w:val="clear" w:color="auto" w:fill="D9D9D9"/>
            <w:vAlign w:val="center"/>
            <w:hideMark/>
          </w:tcPr>
          <w:p w14:paraId="41817848" w14:textId="71B489B7" w:rsidR="003F1923" w:rsidRDefault="001C40CF">
            <w:pPr>
              <w:jc w:val="center"/>
              <w:rPr>
                <w:b/>
                <w:bCs/>
                <w:color w:val="000000"/>
                <w:szCs w:val="24"/>
              </w:rPr>
            </w:pPr>
            <w:r>
              <w:rPr>
                <w:b/>
                <w:bCs/>
                <w:color w:val="000000"/>
                <w:szCs w:val="24"/>
              </w:rPr>
              <w:t xml:space="preserve">SCID of Benefitting </w:t>
            </w:r>
            <w:r w:rsidR="008B19A6">
              <w:rPr>
                <w:b/>
                <w:bCs/>
                <w:color w:val="000000"/>
                <w:szCs w:val="24"/>
              </w:rPr>
              <w:t>Entity</w:t>
            </w:r>
          </w:p>
        </w:tc>
      </w:tr>
      <w:tr w:rsidR="002D1676" w14:paraId="7449D683" w14:textId="77777777" w:rsidTr="003F1923">
        <w:trPr>
          <w:trHeight w:val="202"/>
        </w:trPr>
        <w:tc>
          <w:tcPr>
            <w:tcW w:w="1250" w:type="dxa"/>
            <w:tcBorders>
              <w:top w:val="nil"/>
              <w:left w:val="single" w:sz="4" w:space="0" w:color="auto"/>
              <w:bottom w:val="single" w:sz="4" w:space="0" w:color="auto"/>
              <w:right w:val="single" w:sz="4" w:space="0" w:color="auto"/>
            </w:tcBorders>
            <w:noWrap/>
            <w:vAlign w:val="bottom"/>
            <w:hideMark/>
          </w:tcPr>
          <w:p w14:paraId="0342BFE8"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4" w:space="0" w:color="auto"/>
              <w:right w:val="single" w:sz="4" w:space="0" w:color="auto"/>
            </w:tcBorders>
            <w:noWrap/>
            <w:vAlign w:val="bottom"/>
            <w:hideMark/>
          </w:tcPr>
          <w:p w14:paraId="32C8C94D" w14:textId="77777777" w:rsidR="003F1923" w:rsidRDefault="003F1923">
            <w:pPr>
              <w:jc w:val="left"/>
              <w:rPr>
                <w:rFonts w:ascii="Calibri" w:hAnsi="Calibri"/>
                <w:color w:val="000000"/>
                <w:sz w:val="22"/>
                <w:szCs w:val="22"/>
              </w:rPr>
            </w:pPr>
          </w:p>
        </w:tc>
        <w:tc>
          <w:tcPr>
            <w:tcW w:w="1137" w:type="dxa"/>
            <w:tcBorders>
              <w:top w:val="nil"/>
              <w:left w:val="nil"/>
              <w:bottom w:val="single" w:sz="4" w:space="0" w:color="auto"/>
              <w:right w:val="single" w:sz="4" w:space="0" w:color="auto"/>
            </w:tcBorders>
            <w:noWrap/>
            <w:vAlign w:val="bottom"/>
            <w:hideMark/>
          </w:tcPr>
          <w:p w14:paraId="5BDF5448" w14:textId="77777777" w:rsidR="003F1923" w:rsidRDefault="003F1923">
            <w:pPr>
              <w:jc w:val="left"/>
              <w:rPr>
                <w:rFonts w:ascii="Calibri" w:hAnsi="Calibri"/>
                <w:color w:val="000000"/>
                <w:sz w:val="22"/>
                <w:szCs w:val="22"/>
              </w:rPr>
            </w:pPr>
          </w:p>
        </w:tc>
        <w:tc>
          <w:tcPr>
            <w:tcW w:w="1136" w:type="dxa"/>
            <w:tcBorders>
              <w:top w:val="nil"/>
              <w:left w:val="nil"/>
              <w:bottom w:val="single" w:sz="4" w:space="0" w:color="auto"/>
              <w:right w:val="single" w:sz="4" w:space="0" w:color="auto"/>
            </w:tcBorders>
            <w:noWrap/>
            <w:vAlign w:val="bottom"/>
            <w:hideMark/>
          </w:tcPr>
          <w:p w14:paraId="21B13FAD" w14:textId="77777777" w:rsidR="003F1923" w:rsidRDefault="003F1923">
            <w:pPr>
              <w:jc w:val="left"/>
              <w:rPr>
                <w:rFonts w:ascii="Calibri" w:hAnsi="Calibri"/>
                <w:color w:val="000000"/>
                <w:sz w:val="22"/>
                <w:szCs w:val="22"/>
              </w:rPr>
            </w:pPr>
          </w:p>
        </w:tc>
        <w:tc>
          <w:tcPr>
            <w:tcW w:w="1197" w:type="dxa"/>
            <w:tcBorders>
              <w:top w:val="nil"/>
              <w:left w:val="nil"/>
              <w:bottom w:val="single" w:sz="4" w:space="0" w:color="auto"/>
              <w:right w:val="single" w:sz="4" w:space="0" w:color="auto"/>
            </w:tcBorders>
            <w:noWrap/>
            <w:vAlign w:val="bottom"/>
            <w:hideMark/>
          </w:tcPr>
          <w:p w14:paraId="27E48A72" w14:textId="77777777" w:rsidR="003F1923" w:rsidRDefault="003F1923">
            <w:pPr>
              <w:jc w:val="left"/>
              <w:rPr>
                <w:rFonts w:ascii="Calibri" w:hAnsi="Calibri"/>
                <w:color w:val="000000"/>
                <w:sz w:val="22"/>
                <w:szCs w:val="22"/>
              </w:rPr>
            </w:pPr>
          </w:p>
        </w:tc>
        <w:tc>
          <w:tcPr>
            <w:tcW w:w="1163" w:type="dxa"/>
            <w:tcBorders>
              <w:top w:val="nil"/>
              <w:left w:val="nil"/>
              <w:bottom w:val="single" w:sz="4" w:space="0" w:color="auto"/>
              <w:right w:val="single" w:sz="4" w:space="0" w:color="auto"/>
            </w:tcBorders>
            <w:noWrap/>
            <w:vAlign w:val="bottom"/>
            <w:hideMark/>
          </w:tcPr>
          <w:p w14:paraId="059FEC8B" w14:textId="77777777" w:rsidR="003F1923" w:rsidRDefault="003F1923">
            <w:pPr>
              <w:jc w:val="left"/>
              <w:rPr>
                <w:rFonts w:ascii="Calibri" w:hAnsi="Calibri"/>
                <w:color w:val="000000"/>
                <w:sz w:val="22"/>
                <w:szCs w:val="22"/>
              </w:rPr>
            </w:pPr>
          </w:p>
        </w:tc>
        <w:tc>
          <w:tcPr>
            <w:tcW w:w="1161" w:type="dxa"/>
            <w:tcBorders>
              <w:top w:val="nil"/>
              <w:left w:val="nil"/>
              <w:bottom w:val="single" w:sz="4" w:space="0" w:color="auto"/>
              <w:right w:val="single" w:sz="4" w:space="0" w:color="auto"/>
            </w:tcBorders>
            <w:noWrap/>
            <w:vAlign w:val="bottom"/>
            <w:hideMark/>
          </w:tcPr>
          <w:p w14:paraId="63423BA7" w14:textId="77777777" w:rsidR="003F1923" w:rsidRDefault="003F1923">
            <w:pPr>
              <w:jc w:val="left"/>
              <w:rPr>
                <w:rFonts w:ascii="Calibri" w:hAnsi="Calibri"/>
                <w:color w:val="000000"/>
                <w:sz w:val="22"/>
                <w:szCs w:val="22"/>
              </w:rPr>
            </w:pPr>
          </w:p>
        </w:tc>
        <w:tc>
          <w:tcPr>
            <w:tcW w:w="1350" w:type="dxa"/>
            <w:tcBorders>
              <w:top w:val="nil"/>
              <w:left w:val="nil"/>
              <w:bottom w:val="single" w:sz="4" w:space="0" w:color="auto"/>
              <w:right w:val="single" w:sz="8" w:space="0" w:color="auto"/>
            </w:tcBorders>
            <w:noWrap/>
            <w:vAlign w:val="bottom"/>
            <w:hideMark/>
          </w:tcPr>
          <w:p w14:paraId="7EF7677B" w14:textId="77777777" w:rsidR="003F1923" w:rsidRDefault="003F1923">
            <w:pPr>
              <w:jc w:val="left"/>
              <w:rPr>
                <w:rFonts w:ascii="Calibri" w:hAnsi="Calibri"/>
                <w:color w:val="000000"/>
                <w:sz w:val="22"/>
                <w:szCs w:val="22"/>
              </w:rPr>
            </w:pPr>
          </w:p>
        </w:tc>
      </w:tr>
      <w:tr w:rsidR="002D1676" w14:paraId="4FB407A4" w14:textId="77777777" w:rsidTr="003F1923">
        <w:trPr>
          <w:trHeight w:val="202"/>
        </w:trPr>
        <w:tc>
          <w:tcPr>
            <w:tcW w:w="1250" w:type="dxa"/>
            <w:tcBorders>
              <w:top w:val="nil"/>
              <w:left w:val="single" w:sz="4" w:space="0" w:color="auto"/>
              <w:bottom w:val="single" w:sz="4" w:space="0" w:color="auto"/>
              <w:right w:val="single" w:sz="4" w:space="0" w:color="auto"/>
            </w:tcBorders>
            <w:noWrap/>
            <w:vAlign w:val="bottom"/>
            <w:hideMark/>
          </w:tcPr>
          <w:p w14:paraId="4FB7511B"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4" w:space="0" w:color="auto"/>
              <w:right w:val="single" w:sz="4" w:space="0" w:color="auto"/>
            </w:tcBorders>
            <w:noWrap/>
            <w:vAlign w:val="bottom"/>
            <w:hideMark/>
          </w:tcPr>
          <w:p w14:paraId="46AF59D7" w14:textId="77777777" w:rsidR="003F1923" w:rsidRDefault="003F1923">
            <w:pPr>
              <w:jc w:val="left"/>
              <w:rPr>
                <w:rFonts w:ascii="Calibri" w:hAnsi="Calibri"/>
                <w:color w:val="000000"/>
                <w:sz w:val="22"/>
                <w:szCs w:val="22"/>
              </w:rPr>
            </w:pPr>
          </w:p>
        </w:tc>
        <w:tc>
          <w:tcPr>
            <w:tcW w:w="1137" w:type="dxa"/>
            <w:tcBorders>
              <w:top w:val="nil"/>
              <w:left w:val="nil"/>
              <w:bottom w:val="single" w:sz="4" w:space="0" w:color="auto"/>
              <w:right w:val="single" w:sz="4" w:space="0" w:color="auto"/>
            </w:tcBorders>
            <w:noWrap/>
            <w:vAlign w:val="bottom"/>
            <w:hideMark/>
          </w:tcPr>
          <w:p w14:paraId="50166F90" w14:textId="77777777" w:rsidR="003F1923" w:rsidRDefault="003F1923">
            <w:pPr>
              <w:jc w:val="left"/>
              <w:rPr>
                <w:rFonts w:ascii="Calibri" w:hAnsi="Calibri"/>
                <w:color w:val="000000"/>
                <w:sz w:val="22"/>
                <w:szCs w:val="22"/>
              </w:rPr>
            </w:pPr>
          </w:p>
        </w:tc>
        <w:tc>
          <w:tcPr>
            <w:tcW w:w="1136" w:type="dxa"/>
            <w:tcBorders>
              <w:top w:val="nil"/>
              <w:left w:val="nil"/>
              <w:bottom w:val="single" w:sz="4" w:space="0" w:color="auto"/>
              <w:right w:val="single" w:sz="4" w:space="0" w:color="auto"/>
            </w:tcBorders>
            <w:noWrap/>
            <w:vAlign w:val="bottom"/>
            <w:hideMark/>
          </w:tcPr>
          <w:p w14:paraId="07C2B4B8" w14:textId="77777777" w:rsidR="003F1923" w:rsidRDefault="003F1923">
            <w:pPr>
              <w:jc w:val="left"/>
              <w:rPr>
                <w:rFonts w:ascii="Calibri" w:hAnsi="Calibri"/>
                <w:color w:val="000000"/>
                <w:sz w:val="22"/>
                <w:szCs w:val="22"/>
              </w:rPr>
            </w:pPr>
          </w:p>
        </w:tc>
        <w:tc>
          <w:tcPr>
            <w:tcW w:w="1197" w:type="dxa"/>
            <w:tcBorders>
              <w:top w:val="nil"/>
              <w:left w:val="nil"/>
              <w:bottom w:val="single" w:sz="4" w:space="0" w:color="auto"/>
              <w:right w:val="single" w:sz="4" w:space="0" w:color="auto"/>
            </w:tcBorders>
            <w:noWrap/>
            <w:vAlign w:val="bottom"/>
            <w:hideMark/>
          </w:tcPr>
          <w:p w14:paraId="539B9C4F" w14:textId="77777777" w:rsidR="003F1923" w:rsidRDefault="003F1923">
            <w:pPr>
              <w:jc w:val="left"/>
              <w:rPr>
                <w:rFonts w:ascii="Calibri" w:hAnsi="Calibri"/>
                <w:color w:val="000000"/>
                <w:sz w:val="22"/>
                <w:szCs w:val="22"/>
              </w:rPr>
            </w:pPr>
          </w:p>
        </w:tc>
        <w:tc>
          <w:tcPr>
            <w:tcW w:w="1163" w:type="dxa"/>
            <w:tcBorders>
              <w:top w:val="nil"/>
              <w:left w:val="nil"/>
              <w:bottom w:val="single" w:sz="4" w:space="0" w:color="auto"/>
              <w:right w:val="single" w:sz="4" w:space="0" w:color="auto"/>
            </w:tcBorders>
            <w:noWrap/>
            <w:vAlign w:val="bottom"/>
            <w:hideMark/>
          </w:tcPr>
          <w:p w14:paraId="13C855A6" w14:textId="77777777" w:rsidR="003F1923" w:rsidRDefault="003F1923">
            <w:pPr>
              <w:jc w:val="left"/>
              <w:rPr>
                <w:rFonts w:ascii="Calibri" w:hAnsi="Calibri"/>
                <w:color w:val="000000"/>
                <w:sz w:val="22"/>
                <w:szCs w:val="22"/>
              </w:rPr>
            </w:pPr>
          </w:p>
        </w:tc>
        <w:tc>
          <w:tcPr>
            <w:tcW w:w="1161" w:type="dxa"/>
            <w:tcBorders>
              <w:top w:val="nil"/>
              <w:left w:val="nil"/>
              <w:bottom w:val="single" w:sz="4" w:space="0" w:color="auto"/>
              <w:right w:val="single" w:sz="4" w:space="0" w:color="auto"/>
            </w:tcBorders>
            <w:noWrap/>
            <w:vAlign w:val="bottom"/>
            <w:hideMark/>
          </w:tcPr>
          <w:p w14:paraId="078A77B5" w14:textId="77777777" w:rsidR="003F1923" w:rsidRDefault="003F1923">
            <w:pPr>
              <w:jc w:val="left"/>
              <w:rPr>
                <w:rFonts w:ascii="Calibri" w:hAnsi="Calibri"/>
                <w:color w:val="000000"/>
                <w:sz w:val="22"/>
                <w:szCs w:val="22"/>
              </w:rPr>
            </w:pPr>
          </w:p>
        </w:tc>
        <w:tc>
          <w:tcPr>
            <w:tcW w:w="1350" w:type="dxa"/>
            <w:tcBorders>
              <w:top w:val="nil"/>
              <w:left w:val="nil"/>
              <w:bottom w:val="single" w:sz="4" w:space="0" w:color="auto"/>
              <w:right w:val="single" w:sz="8" w:space="0" w:color="auto"/>
            </w:tcBorders>
            <w:noWrap/>
            <w:vAlign w:val="bottom"/>
            <w:hideMark/>
          </w:tcPr>
          <w:p w14:paraId="661F0948" w14:textId="77777777" w:rsidR="003F1923" w:rsidRDefault="003F1923">
            <w:pPr>
              <w:jc w:val="left"/>
              <w:rPr>
                <w:rFonts w:ascii="Calibri" w:hAnsi="Calibri"/>
                <w:color w:val="000000"/>
                <w:sz w:val="22"/>
                <w:szCs w:val="22"/>
              </w:rPr>
            </w:pPr>
          </w:p>
        </w:tc>
      </w:tr>
      <w:tr w:rsidR="002D1676" w14:paraId="3EAD2FA1" w14:textId="77777777" w:rsidTr="003F1923">
        <w:trPr>
          <w:trHeight w:val="202"/>
        </w:trPr>
        <w:tc>
          <w:tcPr>
            <w:tcW w:w="1250" w:type="dxa"/>
            <w:tcBorders>
              <w:top w:val="nil"/>
              <w:left w:val="single" w:sz="4" w:space="0" w:color="auto"/>
              <w:bottom w:val="single" w:sz="4" w:space="0" w:color="auto"/>
              <w:right w:val="single" w:sz="4" w:space="0" w:color="auto"/>
            </w:tcBorders>
            <w:noWrap/>
            <w:vAlign w:val="bottom"/>
            <w:hideMark/>
          </w:tcPr>
          <w:p w14:paraId="4895FB6A"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4" w:space="0" w:color="auto"/>
              <w:right w:val="single" w:sz="4" w:space="0" w:color="auto"/>
            </w:tcBorders>
            <w:noWrap/>
            <w:vAlign w:val="bottom"/>
            <w:hideMark/>
          </w:tcPr>
          <w:p w14:paraId="3CDAED5F" w14:textId="77777777" w:rsidR="003F1923" w:rsidRDefault="003F1923">
            <w:pPr>
              <w:jc w:val="left"/>
              <w:rPr>
                <w:rFonts w:ascii="Calibri" w:hAnsi="Calibri"/>
                <w:color w:val="000000"/>
                <w:sz w:val="22"/>
                <w:szCs w:val="22"/>
              </w:rPr>
            </w:pPr>
          </w:p>
        </w:tc>
        <w:tc>
          <w:tcPr>
            <w:tcW w:w="1137" w:type="dxa"/>
            <w:tcBorders>
              <w:top w:val="nil"/>
              <w:left w:val="nil"/>
              <w:bottom w:val="single" w:sz="4" w:space="0" w:color="auto"/>
              <w:right w:val="single" w:sz="4" w:space="0" w:color="auto"/>
            </w:tcBorders>
            <w:noWrap/>
            <w:vAlign w:val="bottom"/>
            <w:hideMark/>
          </w:tcPr>
          <w:p w14:paraId="35D12383" w14:textId="77777777" w:rsidR="003F1923" w:rsidRDefault="003F1923">
            <w:pPr>
              <w:jc w:val="left"/>
              <w:rPr>
                <w:rFonts w:ascii="Calibri" w:hAnsi="Calibri"/>
                <w:color w:val="000000"/>
                <w:sz w:val="22"/>
                <w:szCs w:val="22"/>
              </w:rPr>
            </w:pPr>
          </w:p>
        </w:tc>
        <w:tc>
          <w:tcPr>
            <w:tcW w:w="1136" w:type="dxa"/>
            <w:tcBorders>
              <w:top w:val="nil"/>
              <w:left w:val="nil"/>
              <w:bottom w:val="single" w:sz="4" w:space="0" w:color="auto"/>
              <w:right w:val="single" w:sz="4" w:space="0" w:color="auto"/>
            </w:tcBorders>
            <w:noWrap/>
            <w:vAlign w:val="bottom"/>
            <w:hideMark/>
          </w:tcPr>
          <w:p w14:paraId="334C35CD" w14:textId="77777777" w:rsidR="003F1923" w:rsidRDefault="003F1923">
            <w:pPr>
              <w:jc w:val="left"/>
              <w:rPr>
                <w:rFonts w:ascii="Calibri" w:hAnsi="Calibri"/>
                <w:color w:val="000000"/>
                <w:sz w:val="22"/>
                <w:szCs w:val="22"/>
              </w:rPr>
            </w:pPr>
          </w:p>
        </w:tc>
        <w:tc>
          <w:tcPr>
            <w:tcW w:w="1197" w:type="dxa"/>
            <w:tcBorders>
              <w:top w:val="nil"/>
              <w:left w:val="nil"/>
              <w:bottom w:val="single" w:sz="4" w:space="0" w:color="auto"/>
              <w:right w:val="single" w:sz="4" w:space="0" w:color="auto"/>
            </w:tcBorders>
            <w:noWrap/>
            <w:vAlign w:val="bottom"/>
            <w:hideMark/>
          </w:tcPr>
          <w:p w14:paraId="0DB8D1D1" w14:textId="77777777" w:rsidR="003F1923" w:rsidRDefault="003F1923">
            <w:pPr>
              <w:jc w:val="left"/>
              <w:rPr>
                <w:rFonts w:ascii="Calibri" w:hAnsi="Calibri"/>
                <w:color w:val="000000"/>
                <w:sz w:val="22"/>
                <w:szCs w:val="22"/>
              </w:rPr>
            </w:pPr>
          </w:p>
        </w:tc>
        <w:tc>
          <w:tcPr>
            <w:tcW w:w="1163" w:type="dxa"/>
            <w:tcBorders>
              <w:top w:val="nil"/>
              <w:left w:val="nil"/>
              <w:bottom w:val="single" w:sz="4" w:space="0" w:color="auto"/>
              <w:right w:val="single" w:sz="4" w:space="0" w:color="auto"/>
            </w:tcBorders>
            <w:noWrap/>
            <w:vAlign w:val="bottom"/>
            <w:hideMark/>
          </w:tcPr>
          <w:p w14:paraId="0655F853" w14:textId="77777777" w:rsidR="003F1923" w:rsidRDefault="003F1923">
            <w:pPr>
              <w:jc w:val="left"/>
              <w:rPr>
                <w:rFonts w:ascii="Calibri" w:hAnsi="Calibri"/>
                <w:color w:val="000000"/>
                <w:sz w:val="22"/>
                <w:szCs w:val="22"/>
              </w:rPr>
            </w:pPr>
          </w:p>
        </w:tc>
        <w:tc>
          <w:tcPr>
            <w:tcW w:w="1161" w:type="dxa"/>
            <w:tcBorders>
              <w:top w:val="nil"/>
              <w:left w:val="nil"/>
              <w:bottom w:val="single" w:sz="4" w:space="0" w:color="auto"/>
              <w:right w:val="single" w:sz="4" w:space="0" w:color="auto"/>
            </w:tcBorders>
            <w:noWrap/>
            <w:vAlign w:val="bottom"/>
            <w:hideMark/>
          </w:tcPr>
          <w:p w14:paraId="2B2440E0" w14:textId="77777777" w:rsidR="003F1923" w:rsidRDefault="003F1923">
            <w:pPr>
              <w:jc w:val="left"/>
              <w:rPr>
                <w:rFonts w:ascii="Calibri" w:hAnsi="Calibri"/>
                <w:color w:val="000000"/>
                <w:sz w:val="22"/>
                <w:szCs w:val="22"/>
              </w:rPr>
            </w:pPr>
          </w:p>
        </w:tc>
        <w:tc>
          <w:tcPr>
            <w:tcW w:w="1350" w:type="dxa"/>
            <w:tcBorders>
              <w:top w:val="nil"/>
              <w:left w:val="nil"/>
              <w:bottom w:val="single" w:sz="4" w:space="0" w:color="auto"/>
              <w:right w:val="single" w:sz="8" w:space="0" w:color="auto"/>
            </w:tcBorders>
            <w:noWrap/>
            <w:vAlign w:val="bottom"/>
            <w:hideMark/>
          </w:tcPr>
          <w:p w14:paraId="28D9981C" w14:textId="77777777" w:rsidR="003F1923" w:rsidRDefault="003F1923">
            <w:pPr>
              <w:jc w:val="left"/>
              <w:rPr>
                <w:rFonts w:ascii="Calibri" w:hAnsi="Calibri"/>
                <w:color w:val="000000"/>
                <w:sz w:val="22"/>
                <w:szCs w:val="22"/>
              </w:rPr>
            </w:pPr>
          </w:p>
        </w:tc>
      </w:tr>
      <w:tr w:rsidR="002D1676" w14:paraId="28F210D5" w14:textId="77777777" w:rsidTr="003F1923">
        <w:trPr>
          <w:trHeight w:val="202"/>
        </w:trPr>
        <w:tc>
          <w:tcPr>
            <w:tcW w:w="1250" w:type="dxa"/>
            <w:tcBorders>
              <w:top w:val="nil"/>
              <w:left w:val="single" w:sz="4" w:space="0" w:color="auto"/>
              <w:bottom w:val="single" w:sz="4" w:space="0" w:color="auto"/>
              <w:right w:val="single" w:sz="4" w:space="0" w:color="auto"/>
            </w:tcBorders>
            <w:noWrap/>
            <w:vAlign w:val="bottom"/>
            <w:hideMark/>
          </w:tcPr>
          <w:p w14:paraId="15091BF1"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4" w:space="0" w:color="auto"/>
              <w:right w:val="single" w:sz="4" w:space="0" w:color="auto"/>
            </w:tcBorders>
            <w:noWrap/>
            <w:vAlign w:val="bottom"/>
            <w:hideMark/>
          </w:tcPr>
          <w:p w14:paraId="1981A7F9" w14:textId="77777777" w:rsidR="003F1923" w:rsidRDefault="003F1923">
            <w:pPr>
              <w:jc w:val="left"/>
              <w:rPr>
                <w:rFonts w:ascii="Calibri" w:hAnsi="Calibri"/>
                <w:color w:val="000000"/>
                <w:sz w:val="22"/>
                <w:szCs w:val="22"/>
              </w:rPr>
            </w:pPr>
          </w:p>
        </w:tc>
        <w:tc>
          <w:tcPr>
            <w:tcW w:w="1137" w:type="dxa"/>
            <w:tcBorders>
              <w:top w:val="nil"/>
              <w:left w:val="nil"/>
              <w:bottom w:val="single" w:sz="4" w:space="0" w:color="auto"/>
              <w:right w:val="single" w:sz="4" w:space="0" w:color="auto"/>
            </w:tcBorders>
            <w:noWrap/>
            <w:vAlign w:val="bottom"/>
            <w:hideMark/>
          </w:tcPr>
          <w:p w14:paraId="1E15B082" w14:textId="77777777" w:rsidR="003F1923" w:rsidRDefault="003F1923">
            <w:pPr>
              <w:jc w:val="left"/>
              <w:rPr>
                <w:rFonts w:ascii="Calibri" w:hAnsi="Calibri"/>
                <w:color w:val="000000"/>
                <w:sz w:val="22"/>
                <w:szCs w:val="22"/>
              </w:rPr>
            </w:pPr>
          </w:p>
        </w:tc>
        <w:tc>
          <w:tcPr>
            <w:tcW w:w="1136" w:type="dxa"/>
            <w:tcBorders>
              <w:top w:val="nil"/>
              <w:left w:val="nil"/>
              <w:bottom w:val="single" w:sz="4" w:space="0" w:color="auto"/>
              <w:right w:val="single" w:sz="4" w:space="0" w:color="auto"/>
            </w:tcBorders>
            <w:noWrap/>
            <w:vAlign w:val="bottom"/>
            <w:hideMark/>
          </w:tcPr>
          <w:p w14:paraId="412135C8" w14:textId="77777777" w:rsidR="003F1923" w:rsidRDefault="003F1923">
            <w:pPr>
              <w:jc w:val="left"/>
              <w:rPr>
                <w:rFonts w:ascii="Calibri" w:hAnsi="Calibri"/>
                <w:color w:val="000000"/>
                <w:sz w:val="22"/>
                <w:szCs w:val="22"/>
              </w:rPr>
            </w:pPr>
          </w:p>
        </w:tc>
        <w:tc>
          <w:tcPr>
            <w:tcW w:w="1197" w:type="dxa"/>
            <w:tcBorders>
              <w:top w:val="nil"/>
              <w:left w:val="nil"/>
              <w:bottom w:val="single" w:sz="4" w:space="0" w:color="auto"/>
              <w:right w:val="single" w:sz="4" w:space="0" w:color="auto"/>
            </w:tcBorders>
            <w:noWrap/>
            <w:vAlign w:val="bottom"/>
            <w:hideMark/>
          </w:tcPr>
          <w:p w14:paraId="3219093B" w14:textId="77777777" w:rsidR="003F1923" w:rsidRDefault="003F1923">
            <w:pPr>
              <w:jc w:val="left"/>
              <w:rPr>
                <w:rFonts w:ascii="Calibri" w:hAnsi="Calibri"/>
                <w:color w:val="000000"/>
                <w:sz w:val="22"/>
                <w:szCs w:val="22"/>
              </w:rPr>
            </w:pPr>
          </w:p>
        </w:tc>
        <w:tc>
          <w:tcPr>
            <w:tcW w:w="1163" w:type="dxa"/>
            <w:tcBorders>
              <w:top w:val="nil"/>
              <w:left w:val="nil"/>
              <w:bottom w:val="single" w:sz="4" w:space="0" w:color="auto"/>
              <w:right w:val="single" w:sz="4" w:space="0" w:color="auto"/>
            </w:tcBorders>
            <w:noWrap/>
            <w:vAlign w:val="bottom"/>
            <w:hideMark/>
          </w:tcPr>
          <w:p w14:paraId="0583F288" w14:textId="77777777" w:rsidR="003F1923" w:rsidRDefault="003F1923">
            <w:pPr>
              <w:jc w:val="left"/>
              <w:rPr>
                <w:rFonts w:ascii="Calibri" w:hAnsi="Calibri"/>
                <w:color w:val="000000"/>
                <w:sz w:val="22"/>
                <w:szCs w:val="22"/>
              </w:rPr>
            </w:pPr>
          </w:p>
        </w:tc>
        <w:tc>
          <w:tcPr>
            <w:tcW w:w="1161" w:type="dxa"/>
            <w:tcBorders>
              <w:top w:val="nil"/>
              <w:left w:val="nil"/>
              <w:bottom w:val="single" w:sz="4" w:space="0" w:color="auto"/>
              <w:right w:val="single" w:sz="4" w:space="0" w:color="auto"/>
            </w:tcBorders>
            <w:noWrap/>
            <w:vAlign w:val="bottom"/>
            <w:hideMark/>
          </w:tcPr>
          <w:p w14:paraId="31FBF392" w14:textId="77777777" w:rsidR="003F1923" w:rsidRDefault="003F1923">
            <w:pPr>
              <w:jc w:val="left"/>
              <w:rPr>
                <w:rFonts w:ascii="Calibri" w:hAnsi="Calibri"/>
                <w:color w:val="000000"/>
                <w:sz w:val="22"/>
                <w:szCs w:val="22"/>
              </w:rPr>
            </w:pPr>
          </w:p>
        </w:tc>
        <w:tc>
          <w:tcPr>
            <w:tcW w:w="1350" w:type="dxa"/>
            <w:tcBorders>
              <w:top w:val="nil"/>
              <w:left w:val="nil"/>
              <w:bottom w:val="single" w:sz="4" w:space="0" w:color="auto"/>
              <w:right w:val="single" w:sz="8" w:space="0" w:color="auto"/>
            </w:tcBorders>
            <w:noWrap/>
            <w:vAlign w:val="bottom"/>
            <w:hideMark/>
          </w:tcPr>
          <w:p w14:paraId="29BBE94E" w14:textId="77777777" w:rsidR="003F1923" w:rsidRDefault="003F1923">
            <w:pPr>
              <w:jc w:val="left"/>
              <w:rPr>
                <w:rFonts w:ascii="Calibri" w:hAnsi="Calibri"/>
                <w:color w:val="000000"/>
                <w:sz w:val="22"/>
                <w:szCs w:val="22"/>
              </w:rPr>
            </w:pPr>
          </w:p>
        </w:tc>
      </w:tr>
      <w:tr w:rsidR="002D1676" w14:paraId="2B569942" w14:textId="77777777" w:rsidTr="003F1923">
        <w:trPr>
          <w:trHeight w:val="202"/>
        </w:trPr>
        <w:tc>
          <w:tcPr>
            <w:tcW w:w="1250" w:type="dxa"/>
            <w:tcBorders>
              <w:top w:val="nil"/>
              <w:left w:val="single" w:sz="4" w:space="0" w:color="auto"/>
              <w:bottom w:val="single" w:sz="4" w:space="0" w:color="auto"/>
              <w:right w:val="single" w:sz="4" w:space="0" w:color="auto"/>
            </w:tcBorders>
            <w:noWrap/>
            <w:vAlign w:val="bottom"/>
            <w:hideMark/>
          </w:tcPr>
          <w:p w14:paraId="697C7765"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4" w:space="0" w:color="auto"/>
              <w:right w:val="single" w:sz="4" w:space="0" w:color="auto"/>
            </w:tcBorders>
            <w:noWrap/>
            <w:vAlign w:val="bottom"/>
            <w:hideMark/>
          </w:tcPr>
          <w:p w14:paraId="66FD4A7C" w14:textId="77777777" w:rsidR="003F1923" w:rsidRDefault="003F1923">
            <w:pPr>
              <w:jc w:val="left"/>
              <w:rPr>
                <w:rFonts w:ascii="Calibri" w:hAnsi="Calibri"/>
                <w:color w:val="000000"/>
                <w:sz w:val="22"/>
                <w:szCs w:val="22"/>
              </w:rPr>
            </w:pPr>
          </w:p>
        </w:tc>
        <w:tc>
          <w:tcPr>
            <w:tcW w:w="1137" w:type="dxa"/>
            <w:tcBorders>
              <w:top w:val="nil"/>
              <w:left w:val="nil"/>
              <w:bottom w:val="single" w:sz="4" w:space="0" w:color="auto"/>
              <w:right w:val="single" w:sz="4" w:space="0" w:color="auto"/>
            </w:tcBorders>
            <w:noWrap/>
            <w:vAlign w:val="bottom"/>
            <w:hideMark/>
          </w:tcPr>
          <w:p w14:paraId="1E1F6D5C" w14:textId="77777777" w:rsidR="003F1923" w:rsidRDefault="003F1923">
            <w:pPr>
              <w:jc w:val="left"/>
              <w:rPr>
                <w:rFonts w:ascii="Calibri" w:hAnsi="Calibri"/>
                <w:color w:val="000000"/>
                <w:sz w:val="22"/>
                <w:szCs w:val="22"/>
              </w:rPr>
            </w:pPr>
          </w:p>
        </w:tc>
        <w:tc>
          <w:tcPr>
            <w:tcW w:w="1136" w:type="dxa"/>
            <w:tcBorders>
              <w:top w:val="nil"/>
              <w:left w:val="nil"/>
              <w:bottom w:val="single" w:sz="4" w:space="0" w:color="auto"/>
              <w:right w:val="single" w:sz="4" w:space="0" w:color="auto"/>
            </w:tcBorders>
            <w:noWrap/>
            <w:vAlign w:val="bottom"/>
            <w:hideMark/>
          </w:tcPr>
          <w:p w14:paraId="36B334FE" w14:textId="77777777" w:rsidR="003F1923" w:rsidRDefault="003F1923">
            <w:pPr>
              <w:jc w:val="left"/>
              <w:rPr>
                <w:rFonts w:ascii="Calibri" w:hAnsi="Calibri"/>
                <w:color w:val="000000"/>
                <w:sz w:val="22"/>
                <w:szCs w:val="22"/>
              </w:rPr>
            </w:pPr>
          </w:p>
        </w:tc>
        <w:tc>
          <w:tcPr>
            <w:tcW w:w="1197" w:type="dxa"/>
            <w:tcBorders>
              <w:top w:val="nil"/>
              <w:left w:val="nil"/>
              <w:bottom w:val="single" w:sz="4" w:space="0" w:color="auto"/>
              <w:right w:val="single" w:sz="4" w:space="0" w:color="auto"/>
            </w:tcBorders>
            <w:noWrap/>
            <w:vAlign w:val="bottom"/>
            <w:hideMark/>
          </w:tcPr>
          <w:p w14:paraId="1404D48F" w14:textId="77777777" w:rsidR="003F1923" w:rsidRDefault="003F1923">
            <w:pPr>
              <w:jc w:val="left"/>
              <w:rPr>
                <w:rFonts w:ascii="Calibri" w:hAnsi="Calibri"/>
                <w:color w:val="000000"/>
                <w:sz w:val="22"/>
                <w:szCs w:val="22"/>
              </w:rPr>
            </w:pPr>
          </w:p>
        </w:tc>
        <w:tc>
          <w:tcPr>
            <w:tcW w:w="1163" w:type="dxa"/>
            <w:tcBorders>
              <w:top w:val="nil"/>
              <w:left w:val="nil"/>
              <w:bottom w:val="single" w:sz="4" w:space="0" w:color="auto"/>
              <w:right w:val="single" w:sz="4" w:space="0" w:color="auto"/>
            </w:tcBorders>
            <w:noWrap/>
            <w:vAlign w:val="bottom"/>
            <w:hideMark/>
          </w:tcPr>
          <w:p w14:paraId="185B3516" w14:textId="77777777" w:rsidR="003F1923" w:rsidRDefault="003F1923">
            <w:pPr>
              <w:jc w:val="left"/>
              <w:rPr>
                <w:rFonts w:ascii="Calibri" w:hAnsi="Calibri"/>
                <w:color w:val="000000"/>
                <w:sz w:val="22"/>
                <w:szCs w:val="22"/>
              </w:rPr>
            </w:pPr>
          </w:p>
        </w:tc>
        <w:tc>
          <w:tcPr>
            <w:tcW w:w="1161" w:type="dxa"/>
            <w:tcBorders>
              <w:top w:val="nil"/>
              <w:left w:val="nil"/>
              <w:bottom w:val="single" w:sz="4" w:space="0" w:color="auto"/>
              <w:right w:val="single" w:sz="4" w:space="0" w:color="auto"/>
            </w:tcBorders>
            <w:noWrap/>
            <w:vAlign w:val="bottom"/>
            <w:hideMark/>
          </w:tcPr>
          <w:p w14:paraId="7E105D3D" w14:textId="77777777" w:rsidR="003F1923" w:rsidRDefault="003F1923">
            <w:pPr>
              <w:jc w:val="left"/>
              <w:rPr>
                <w:rFonts w:ascii="Calibri" w:hAnsi="Calibri"/>
                <w:color w:val="000000"/>
                <w:sz w:val="22"/>
                <w:szCs w:val="22"/>
              </w:rPr>
            </w:pPr>
          </w:p>
        </w:tc>
        <w:tc>
          <w:tcPr>
            <w:tcW w:w="1350" w:type="dxa"/>
            <w:tcBorders>
              <w:top w:val="nil"/>
              <w:left w:val="nil"/>
              <w:bottom w:val="single" w:sz="4" w:space="0" w:color="auto"/>
              <w:right w:val="single" w:sz="8" w:space="0" w:color="auto"/>
            </w:tcBorders>
            <w:noWrap/>
            <w:vAlign w:val="bottom"/>
            <w:hideMark/>
          </w:tcPr>
          <w:p w14:paraId="54D5DB9B" w14:textId="77777777" w:rsidR="003F1923" w:rsidRDefault="003F1923">
            <w:pPr>
              <w:jc w:val="left"/>
              <w:rPr>
                <w:rFonts w:ascii="Calibri" w:hAnsi="Calibri"/>
                <w:color w:val="000000"/>
                <w:sz w:val="22"/>
                <w:szCs w:val="22"/>
              </w:rPr>
            </w:pPr>
          </w:p>
        </w:tc>
      </w:tr>
      <w:tr w:rsidR="002D1676" w14:paraId="2A04470D" w14:textId="77777777" w:rsidTr="003F1923">
        <w:trPr>
          <w:trHeight w:val="212"/>
        </w:trPr>
        <w:tc>
          <w:tcPr>
            <w:tcW w:w="1250" w:type="dxa"/>
            <w:tcBorders>
              <w:top w:val="nil"/>
              <w:left w:val="single" w:sz="4" w:space="0" w:color="auto"/>
              <w:bottom w:val="single" w:sz="8" w:space="0" w:color="auto"/>
              <w:right w:val="single" w:sz="4" w:space="0" w:color="auto"/>
            </w:tcBorders>
            <w:noWrap/>
            <w:vAlign w:val="bottom"/>
            <w:hideMark/>
          </w:tcPr>
          <w:p w14:paraId="34424B8C" w14:textId="77777777" w:rsidR="003F1923" w:rsidRDefault="003F1923">
            <w:pPr>
              <w:jc w:val="left"/>
              <w:rPr>
                <w:rFonts w:ascii="Calibri" w:hAnsi="Calibri"/>
                <w:color w:val="000000"/>
                <w:sz w:val="22"/>
                <w:szCs w:val="22"/>
              </w:rPr>
            </w:pPr>
          </w:p>
        </w:tc>
        <w:tc>
          <w:tcPr>
            <w:tcW w:w="1074" w:type="dxa"/>
            <w:tcBorders>
              <w:top w:val="nil"/>
              <w:left w:val="single" w:sz="8" w:space="0" w:color="auto"/>
              <w:bottom w:val="single" w:sz="8" w:space="0" w:color="auto"/>
              <w:right w:val="single" w:sz="4" w:space="0" w:color="auto"/>
            </w:tcBorders>
            <w:noWrap/>
            <w:vAlign w:val="bottom"/>
            <w:hideMark/>
          </w:tcPr>
          <w:p w14:paraId="6E591A24" w14:textId="77777777" w:rsidR="003F1923" w:rsidRDefault="003F1923">
            <w:pPr>
              <w:jc w:val="left"/>
              <w:rPr>
                <w:rFonts w:ascii="Calibri" w:hAnsi="Calibri"/>
                <w:color w:val="000000"/>
                <w:sz w:val="22"/>
                <w:szCs w:val="22"/>
              </w:rPr>
            </w:pPr>
          </w:p>
        </w:tc>
        <w:tc>
          <w:tcPr>
            <w:tcW w:w="1137" w:type="dxa"/>
            <w:tcBorders>
              <w:top w:val="nil"/>
              <w:left w:val="nil"/>
              <w:bottom w:val="single" w:sz="8" w:space="0" w:color="auto"/>
              <w:right w:val="single" w:sz="4" w:space="0" w:color="auto"/>
            </w:tcBorders>
            <w:noWrap/>
            <w:vAlign w:val="bottom"/>
            <w:hideMark/>
          </w:tcPr>
          <w:p w14:paraId="6B4CC093" w14:textId="77777777" w:rsidR="003F1923" w:rsidRDefault="003F1923">
            <w:pPr>
              <w:jc w:val="left"/>
              <w:rPr>
                <w:rFonts w:ascii="Calibri" w:hAnsi="Calibri"/>
                <w:color w:val="000000"/>
                <w:sz w:val="22"/>
                <w:szCs w:val="22"/>
              </w:rPr>
            </w:pPr>
          </w:p>
        </w:tc>
        <w:tc>
          <w:tcPr>
            <w:tcW w:w="1136" w:type="dxa"/>
            <w:tcBorders>
              <w:top w:val="nil"/>
              <w:left w:val="nil"/>
              <w:bottom w:val="single" w:sz="8" w:space="0" w:color="auto"/>
              <w:right w:val="single" w:sz="4" w:space="0" w:color="auto"/>
            </w:tcBorders>
            <w:noWrap/>
            <w:vAlign w:val="bottom"/>
            <w:hideMark/>
          </w:tcPr>
          <w:p w14:paraId="7A84BE03" w14:textId="77777777" w:rsidR="003F1923" w:rsidRDefault="003F1923">
            <w:pPr>
              <w:jc w:val="left"/>
              <w:rPr>
                <w:rFonts w:ascii="Calibri" w:hAnsi="Calibri"/>
                <w:color w:val="000000"/>
                <w:sz w:val="22"/>
                <w:szCs w:val="22"/>
              </w:rPr>
            </w:pPr>
          </w:p>
        </w:tc>
        <w:tc>
          <w:tcPr>
            <w:tcW w:w="1197" w:type="dxa"/>
            <w:tcBorders>
              <w:top w:val="nil"/>
              <w:left w:val="nil"/>
              <w:bottom w:val="single" w:sz="8" w:space="0" w:color="auto"/>
              <w:right w:val="single" w:sz="4" w:space="0" w:color="auto"/>
            </w:tcBorders>
            <w:noWrap/>
            <w:vAlign w:val="bottom"/>
            <w:hideMark/>
          </w:tcPr>
          <w:p w14:paraId="517A679C" w14:textId="77777777" w:rsidR="003F1923" w:rsidRDefault="003F1923">
            <w:pPr>
              <w:jc w:val="left"/>
              <w:rPr>
                <w:rFonts w:ascii="Calibri" w:hAnsi="Calibri"/>
                <w:color w:val="000000"/>
                <w:sz w:val="22"/>
                <w:szCs w:val="22"/>
              </w:rPr>
            </w:pPr>
          </w:p>
        </w:tc>
        <w:tc>
          <w:tcPr>
            <w:tcW w:w="1163" w:type="dxa"/>
            <w:tcBorders>
              <w:top w:val="nil"/>
              <w:left w:val="nil"/>
              <w:bottom w:val="single" w:sz="8" w:space="0" w:color="auto"/>
              <w:right w:val="single" w:sz="4" w:space="0" w:color="auto"/>
            </w:tcBorders>
            <w:noWrap/>
            <w:vAlign w:val="bottom"/>
            <w:hideMark/>
          </w:tcPr>
          <w:p w14:paraId="5FE5A283" w14:textId="77777777" w:rsidR="003F1923" w:rsidRDefault="003F1923">
            <w:pPr>
              <w:jc w:val="left"/>
              <w:rPr>
                <w:rFonts w:ascii="Calibri" w:hAnsi="Calibri"/>
                <w:color w:val="000000"/>
                <w:sz w:val="22"/>
                <w:szCs w:val="22"/>
              </w:rPr>
            </w:pPr>
          </w:p>
        </w:tc>
        <w:tc>
          <w:tcPr>
            <w:tcW w:w="1161" w:type="dxa"/>
            <w:tcBorders>
              <w:top w:val="nil"/>
              <w:left w:val="nil"/>
              <w:bottom w:val="single" w:sz="8" w:space="0" w:color="auto"/>
              <w:right w:val="single" w:sz="4" w:space="0" w:color="auto"/>
            </w:tcBorders>
            <w:noWrap/>
            <w:vAlign w:val="bottom"/>
            <w:hideMark/>
          </w:tcPr>
          <w:p w14:paraId="07986970" w14:textId="77777777" w:rsidR="003F1923" w:rsidRDefault="003F1923">
            <w:pPr>
              <w:jc w:val="left"/>
              <w:rPr>
                <w:rFonts w:ascii="Calibri" w:hAnsi="Calibri"/>
                <w:color w:val="000000"/>
                <w:sz w:val="22"/>
                <w:szCs w:val="22"/>
              </w:rPr>
            </w:pPr>
          </w:p>
        </w:tc>
        <w:tc>
          <w:tcPr>
            <w:tcW w:w="1350" w:type="dxa"/>
            <w:tcBorders>
              <w:top w:val="nil"/>
              <w:left w:val="nil"/>
              <w:bottom w:val="single" w:sz="8" w:space="0" w:color="auto"/>
              <w:right w:val="single" w:sz="8" w:space="0" w:color="auto"/>
            </w:tcBorders>
            <w:noWrap/>
            <w:vAlign w:val="bottom"/>
            <w:hideMark/>
          </w:tcPr>
          <w:p w14:paraId="7D11AC19" w14:textId="77777777" w:rsidR="003F1923" w:rsidRDefault="003F1923">
            <w:pPr>
              <w:jc w:val="left"/>
              <w:rPr>
                <w:rFonts w:ascii="Calibri" w:hAnsi="Calibri"/>
                <w:color w:val="000000"/>
                <w:sz w:val="22"/>
                <w:szCs w:val="22"/>
              </w:rPr>
            </w:pPr>
          </w:p>
        </w:tc>
      </w:tr>
    </w:tbl>
    <w:p w14:paraId="01267CE4" w14:textId="77777777" w:rsidR="00EB2457" w:rsidRDefault="00EB2457" w:rsidP="00EB2457">
      <w:pPr>
        <w:rPr>
          <w:szCs w:val="24"/>
        </w:rPr>
      </w:pPr>
    </w:p>
    <w:p w14:paraId="3C91EF06" w14:textId="5642AD8C" w:rsidR="00EB2457" w:rsidRPr="00EB2457" w:rsidRDefault="001C40CF" w:rsidP="00EB2457">
      <w:pPr>
        <w:rPr>
          <w:color w:val="000000"/>
          <w:sz w:val="22"/>
          <w:szCs w:val="22"/>
        </w:rPr>
      </w:pPr>
      <w:r w:rsidRPr="00EB2457">
        <w:rPr>
          <w:color w:val="000000"/>
          <w:sz w:val="22"/>
          <w:szCs w:val="22"/>
        </w:rPr>
        <w:t>* Please specify: Bay Area, Humboldt, Sierra, Stockton, Fresno, Kern, North Coast/North Bay</w:t>
      </w:r>
      <w:r w:rsidR="007E5F46">
        <w:rPr>
          <w:color w:val="000000"/>
          <w:sz w:val="22"/>
          <w:szCs w:val="22"/>
        </w:rPr>
        <w:t>.</w:t>
      </w:r>
    </w:p>
    <w:p w14:paraId="458B9BDD" w14:textId="77777777" w:rsidR="00EB2457" w:rsidRDefault="00EB2457" w:rsidP="00EB2457">
      <w:pPr>
        <w:tabs>
          <w:tab w:val="left" w:pos="1320"/>
        </w:tabs>
        <w:rPr>
          <w:szCs w:val="24"/>
        </w:rPr>
      </w:pPr>
    </w:p>
    <w:p w14:paraId="17E734B2" w14:textId="6F7203D9" w:rsidR="00EB2457" w:rsidRPr="00EB2457" w:rsidRDefault="00EB2457" w:rsidP="00EB2457">
      <w:pPr>
        <w:tabs>
          <w:tab w:val="left" w:pos="1320"/>
        </w:tabs>
        <w:rPr>
          <w:szCs w:val="24"/>
        </w:rPr>
        <w:sectPr w:rsidR="00EB2457" w:rsidRPr="00EB2457" w:rsidSect="004C3BD9">
          <w:headerReference w:type="default" r:id="rId13"/>
          <w:footerReference w:type="even" r:id="rId14"/>
          <w:pgSz w:w="12240" w:h="15840"/>
          <w:pgMar w:top="1440" w:right="1440" w:bottom="1440" w:left="1440" w:header="720" w:footer="720" w:gutter="0"/>
          <w:cols w:space="720"/>
          <w:docGrid w:linePitch="360"/>
        </w:sectPr>
      </w:pPr>
    </w:p>
    <w:p w14:paraId="1BDD481D" w14:textId="77777777" w:rsidR="00F02ECA" w:rsidRDefault="001C40CF" w:rsidP="00F02ECA">
      <w:pPr>
        <w:pStyle w:val="BodyTextLeft"/>
        <w:jc w:val="center"/>
        <w:rPr>
          <w:b/>
          <w:u w:val="single"/>
        </w:rPr>
      </w:pPr>
      <w:r w:rsidRPr="00E30249">
        <w:rPr>
          <w:b/>
          <w:lang w:val="en-CA"/>
        </w:rPr>
        <w:lastRenderedPageBreak/>
        <w:t xml:space="preserve">APPENDIX </w:t>
      </w:r>
      <w:r>
        <w:rPr>
          <w:b/>
          <w:lang w:val="en-CA"/>
        </w:rPr>
        <w:t>C</w:t>
      </w:r>
      <w:r w:rsidRPr="00E30249">
        <w:rPr>
          <w:b/>
          <w:lang w:val="en-CA"/>
        </w:rPr>
        <w:br/>
      </w:r>
      <w:r w:rsidRPr="00E30249">
        <w:rPr>
          <w:b/>
          <w:u w:val="single"/>
        </w:rPr>
        <w:t>SUBSEQUENT SALE INFORMATION</w:t>
      </w:r>
    </w:p>
    <w:p w14:paraId="132443E6" w14:textId="77777777" w:rsidR="00F02ECA" w:rsidRPr="00E30249" w:rsidRDefault="00F02ECA" w:rsidP="00F02ECA">
      <w:pPr>
        <w:pStyle w:val="BodyTextLeft"/>
        <w:jc w:val="center"/>
        <w:rPr>
          <w:b/>
        </w:rPr>
      </w:pPr>
    </w:p>
    <w:tbl>
      <w:tblPr>
        <w:tblStyle w:val="TableGrid"/>
        <w:tblW w:w="0" w:type="auto"/>
        <w:tblLook w:val="04A0" w:firstRow="1" w:lastRow="0" w:firstColumn="1" w:lastColumn="0" w:noHBand="0" w:noVBand="1"/>
      </w:tblPr>
      <w:tblGrid>
        <w:gridCol w:w="3528"/>
        <w:gridCol w:w="5328"/>
      </w:tblGrid>
      <w:tr w:rsidR="002D1676" w14:paraId="3C3002B8" w14:textId="77777777" w:rsidTr="00B20785">
        <w:tc>
          <w:tcPr>
            <w:tcW w:w="3528" w:type="dxa"/>
            <w:shd w:val="clear" w:color="auto" w:fill="D9D9D9" w:themeFill="background1" w:themeFillShade="D9"/>
          </w:tcPr>
          <w:p w14:paraId="714D8D58"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 xml:space="preserve">Contract Key ID: </w:t>
            </w:r>
          </w:p>
        </w:tc>
        <w:tc>
          <w:tcPr>
            <w:tcW w:w="5328" w:type="dxa"/>
          </w:tcPr>
          <w:p w14:paraId="47344B0D" w14:textId="77777777" w:rsidR="00F02ECA" w:rsidRPr="00081AFF" w:rsidRDefault="00F02ECA" w:rsidP="00B20785">
            <w:pPr>
              <w:pStyle w:val="BodyTextLeft"/>
              <w:rPr>
                <w:rFonts w:ascii="Times New Roman" w:hAnsi="Times New Roman" w:cs="Times New Roman"/>
                <w:szCs w:val="24"/>
              </w:rPr>
            </w:pPr>
          </w:p>
        </w:tc>
      </w:tr>
      <w:tr w:rsidR="002D1676" w14:paraId="4EA8FD7C" w14:textId="77777777" w:rsidTr="00B20785">
        <w:tc>
          <w:tcPr>
            <w:tcW w:w="3528" w:type="dxa"/>
            <w:shd w:val="clear" w:color="auto" w:fill="D9D9D9" w:themeFill="background1" w:themeFillShade="D9"/>
          </w:tcPr>
          <w:p w14:paraId="18E5343F"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 xml:space="preserve">Benefitting LSE SCID: </w:t>
            </w:r>
          </w:p>
        </w:tc>
        <w:tc>
          <w:tcPr>
            <w:tcW w:w="5328" w:type="dxa"/>
          </w:tcPr>
          <w:p w14:paraId="2C1221D7" w14:textId="77777777" w:rsidR="00F02ECA" w:rsidRPr="00081AFF" w:rsidRDefault="00F02ECA" w:rsidP="00B20785">
            <w:pPr>
              <w:pStyle w:val="BodyTextLeft"/>
              <w:rPr>
                <w:rFonts w:ascii="Times New Roman" w:hAnsi="Times New Roman" w:cs="Times New Roman"/>
                <w:szCs w:val="24"/>
              </w:rPr>
            </w:pPr>
          </w:p>
        </w:tc>
      </w:tr>
      <w:tr w:rsidR="002D1676" w14:paraId="1C289716" w14:textId="77777777" w:rsidTr="00B20785">
        <w:tc>
          <w:tcPr>
            <w:tcW w:w="3528" w:type="dxa"/>
            <w:shd w:val="clear" w:color="auto" w:fill="D9D9D9" w:themeFill="background1" w:themeFillShade="D9"/>
          </w:tcPr>
          <w:p w14:paraId="441169B8"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Generic Volume (in MW):</w:t>
            </w:r>
          </w:p>
        </w:tc>
        <w:tc>
          <w:tcPr>
            <w:tcW w:w="5328" w:type="dxa"/>
          </w:tcPr>
          <w:p w14:paraId="6B11925B" w14:textId="77777777" w:rsidR="00F02ECA" w:rsidRPr="00081AFF" w:rsidRDefault="00F02ECA" w:rsidP="00B20785">
            <w:pPr>
              <w:pStyle w:val="BodyTextLeft"/>
              <w:rPr>
                <w:rFonts w:ascii="Times New Roman" w:hAnsi="Times New Roman" w:cs="Times New Roman"/>
                <w:szCs w:val="24"/>
              </w:rPr>
            </w:pPr>
          </w:p>
        </w:tc>
      </w:tr>
      <w:tr w:rsidR="002D1676" w14:paraId="3A97A3C8" w14:textId="77777777" w:rsidTr="00B20785">
        <w:tc>
          <w:tcPr>
            <w:tcW w:w="3528" w:type="dxa"/>
            <w:shd w:val="clear" w:color="auto" w:fill="D9D9D9" w:themeFill="background1" w:themeFillShade="D9"/>
          </w:tcPr>
          <w:p w14:paraId="5C38DB5E"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Local Volume (in MW</w:t>
            </w:r>
            <w:r w:rsidR="00A67134">
              <w:rPr>
                <w:rFonts w:ascii="Times New Roman" w:hAnsi="Times New Roman" w:cs="Times New Roman"/>
                <w:b/>
                <w:szCs w:val="24"/>
              </w:rPr>
              <w:t xml:space="preserve"> and by local area</w:t>
            </w:r>
            <w:r w:rsidRPr="002D1A01">
              <w:rPr>
                <w:rFonts w:ascii="Times New Roman" w:hAnsi="Times New Roman" w:cs="Times New Roman"/>
                <w:b/>
                <w:szCs w:val="24"/>
              </w:rPr>
              <w:t>):</w:t>
            </w:r>
          </w:p>
        </w:tc>
        <w:tc>
          <w:tcPr>
            <w:tcW w:w="5328" w:type="dxa"/>
          </w:tcPr>
          <w:p w14:paraId="0C447DB8" w14:textId="77777777" w:rsidR="00F02ECA" w:rsidRPr="00081AFF" w:rsidRDefault="00F02ECA" w:rsidP="00B20785">
            <w:pPr>
              <w:pStyle w:val="BodyTextLeft"/>
              <w:rPr>
                <w:rFonts w:ascii="Times New Roman" w:hAnsi="Times New Roman" w:cs="Times New Roman"/>
                <w:szCs w:val="24"/>
              </w:rPr>
            </w:pPr>
          </w:p>
        </w:tc>
      </w:tr>
      <w:tr w:rsidR="002D1676" w14:paraId="58C978F9" w14:textId="77777777" w:rsidTr="00B20785">
        <w:tc>
          <w:tcPr>
            <w:tcW w:w="3528" w:type="dxa"/>
            <w:shd w:val="clear" w:color="auto" w:fill="D9D9D9" w:themeFill="background1" w:themeFillShade="D9"/>
          </w:tcPr>
          <w:p w14:paraId="66730260"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Flexible Volume (in MW):</w:t>
            </w:r>
          </w:p>
        </w:tc>
        <w:tc>
          <w:tcPr>
            <w:tcW w:w="5328" w:type="dxa"/>
          </w:tcPr>
          <w:p w14:paraId="652F0B18" w14:textId="77777777" w:rsidR="00F02ECA" w:rsidRPr="00081AFF" w:rsidRDefault="00F02ECA" w:rsidP="00B20785">
            <w:pPr>
              <w:pStyle w:val="BodyTextLeft"/>
              <w:rPr>
                <w:rFonts w:ascii="Times New Roman" w:hAnsi="Times New Roman" w:cs="Times New Roman"/>
                <w:szCs w:val="24"/>
              </w:rPr>
            </w:pPr>
          </w:p>
        </w:tc>
      </w:tr>
      <w:tr w:rsidR="002D1676" w14:paraId="06342F79" w14:textId="77777777" w:rsidTr="00B20785">
        <w:tc>
          <w:tcPr>
            <w:tcW w:w="3528" w:type="dxa"/>
            <w:shd w:val="clear" w:color="auto" w:fill="D9D9D9" w:themeFill="background1" w:themeFillShade="D9"/>
          </w:tcPr>
          <w:p w14:paraId="4432DFD1" w14:textId="77777777" w:rsidR="00F02ECA" w:rsidRPr="002D1A01" w:rsidRDefault="001C40CF" w:rsidP="00B20785">
            <w:pPr>
              <w:pStyle w:val="BodyTextLeft"/>
              <w:rPr>
                <w:rFonts w:ascii="Times New Roman" w:hAnsi="Times New Roman" w:cs="Times New Roman"/>
                <w:b/>
                <w:szCs w:val="24"/>
              </w:rPr>
            </w:pPr>
            <w:r w:rsidRPr="002D1A01">
              <w:rPr>
                <w:rFonts w:ascii="Times New Roman" w:hAnsi="Times New Roman" w:cs="Times New Roman"/>
                <w:b/>
                <w:szCs w:val="24"/>
              </w:rPr>
              <w:t>Term:</w:t>
            </w:r>
          </w:p>
        </w:tc>
        <w:tc>
          <w:tcPr>
            <w:tcW w:w="5328" w:type="dxa"/>
          </w:tcPr>
          <w:p w14:paraId="6EC13C53" w14:textId="77777777" w:rsidR="00F02ECA" w:rsidRPr="00081AFF" w:rsidRDefault="00F02ECA" w:rsidP="00B20785">
            <w:pPr>
              <w:pStyle w:val="BodyTextLeft"/>
              <w:rPr>
                <w:rFonts w:ascii="Times New Roman" w:hAnsi="Times New Roman" w:cs="Times New Roman"/>
                <w:szCs w:val="24"/>
              </w:rPr>
            </w:pPr>
          </w:p>
        </w:tc>
      </w:tr>
    </w:tbl>
    <w:p w14:paraId="1B0DD70D" w14:textId="77777777" w:rsidR="00F02ECA" w:rsidRDefault="00F02ECA" w:rsidP="00F02ECA">
      <w:pPr>
        <w:pStyle w:val="BodyTextLeft"/>
        <w:rPr>
          <w:szCs w:val="24"/>
        </w:rPr>
        <w:sectPr w:rsidR="00F02ECA" w:rsidSect="004C3BD9">
          <w:pgSz w:w="12240" w:h="15840"/>
          <w:pgMar w:top="1440" w:right="1440" w:bottom="1440" w:left="1440" w:header="720" w:footer="720" w:gutter="0"/>
          <w:cols w:space="720"/>
          <w:docGrid w:linePitch="360"/>
        </w:sectPr>
      </w:pPr>
    </w:p>
    <w:p w14:paraId="7CFFD9FF" w14:textId="77777777" w:rsidR="002744BC" w:rsidRDefault="002744BC">
      <w:pPr>
        <w:jc w:val="left"/>
        <w:rPr>
          <w:b/>
          <w:kern w:val="28"/>
          <w:lang w:val="en-CA"/>
        </w:rPr>
      </w:pPr>
    </w:p>
    <w:p w14:paraId="7E5B0864" w14:textId="77777777" w:rsidR="00087D06" w:rsidRDefault="001C40CF" w:rsidP="007D3487">
      <w:pPr>
        <w:pStyle w:val="Title"/>
        <w:spacing w:after="0"/>
        <w:rPr>
          <w:u w:val="single"/>
        </w:rPr>
      </w:pPr>
      <w:r w:rsidRPr="00081AFF">
        <w:rPr>
          <w:lang w:val="en-CA"/>
        </w:rPr>
        <w:t xml:space="preserve">APPENDIX </w:t>
      </w:r>
      <w:r w:rsidR="007D3487">
        <w:rPr>
          <w:lang w:val="en-CA"/>
        </w:rPr>
        <w:t>D</w:t>
      </w:r>
    </w:p>
    <w:p w14:paraId="055DCECE" w14:textId="77777777" w:rsidR="007D3487" w:rsidRDefault="001C40CF" w:rsidP="008A392C">
      <w:pPr>
        <w:pStyle w:val="Title"/>
        <w:rPr>
          <w:u w:val="single"/>
        </w:rPr>
      </w:pPr>
      <w:r>
        <w:rPr>
          <w:u w:val="single"/>
        </w:rPr>
        <w:t>NOTICE INFORMATION</w:t>
      </w:r>
    </w:p>
    <w:tbl>
      <w:tblPr>
        <w:tblW w:w="9558" w:type="dxa"/>
        <w:tblLook w:val="0000" w:firstRow="0" w:lastRow="0" w:firstColumn="0" w:lastColumn="0" w:noHBand="0" w:noVBand="0"/>
      </w:tblPr>
      <w:tblGrid>
        <w:gridCol w:w="4518"/>
        <w:gridCol w:w="5040"/>
      </w:tblGrid>
      <w:tr w:rsidR="002D1676" w14:paraId="24059996" w14:textId="77777777" w:rsidTr="001B4463">
        <w:trPr>
          <w:trHeight w:val="918"/>
        </w:trPr>
        <w:tc>
          <w:tcPr>
            <w:tcW w:w="4518" w:type="dxa"/>
          </w:tcPr>
          <w:p w14:paraId="7C6F77E6" w14:textId="7DFD0073" w:rsidR="000B5862" w:rsidRPr="00A1156E" w:rsidRDefault="001C40CF" w:rsidP="001B4463">
            <w:pPr>
              <w:widowControl w:val="0"/>
              <w:tabs>
                <w:tab w:val="right" w:pos="4320"/>
              </w:tabs>
              <w:jc w:val="left"/>
              <w:rPr>
                <w:sz w:val="18"/>
                <w:szCs w:val="18"/>
              </w:rPr>
            </w:pPr>
            <w:r w:rsidRPr="00A1156E">
              <w:rPr>
                <w:b/>
                <w:sz w:val="18"/>
                <w:szCs w:val="18"/>
              </w:rPr>
              <w:t>Name:</w:t>
            </w:r>
            <w:r w:rsidRPr="00A1156E">
              <w:rPr>
                <w:sz w:val="18"/>
                <w:szCs w:val="18"/>
              </w:rPr>
              <w:t xml:space="preserve">  </w:t>
            </w:r>
            <w:r w:rsidR="004A61C6" w:rsidRPr="00A1156E">
              <w:rPr>
                <w:sz w:val="18"/>
                <w:szCs w:val="18"/>
                <w:highlight w:val="yellow"/>
              </w:rPr>
              <w:t>[</w:t>
            </w:r>
            <w:r w:rsidR="00A274C6" w:rsidRPr="00A1156E">
              <w:rPr>
                <w:sz w:val="18"/>
                <w:szCs w:val="18"/>
                <w:highlight w:val="yellow"/>
              </w:rPr>
              <w:t xml:space="preserve">Party A’s </w:t>
            </w:r>
            <w:r w:rsidR="00093A5A" w:rsidRPr="00A1156E">
              <w:rPr>
                <w:sz w:val="18"/>
                <w:szCs w:val="18"/>
                <w:highlight w:val="yellow"/>
              </w:rPr>
              <w:t xml:space="preserve">Legal </w:t>
            </w:r>
            <w:r w:rsidR="004A61C6" w:rsidRPr="00A1156E">
              <w:rPr>
                <w:sz w:val="18"/>
                <w:szCs w:val="18"/>
                <w:highlight w:val="yellow"/>
              </w:rPr>
              <w:t>Name] a [include place of formation and business type]</w:t>
            </w:r>
          </w:p>
          <w:p w14:paraId="1BFC4F3C" w14:textId="77777777" w:rsidR="004A61C6" w:rsidRPr="00A1156E" w:rsidRDefault="004A61C6" w:rsidP="001B4463">
            <w:pPr>
              <w:widowControl w:val="0"/>
              <w:tabs>
                <w:tab w:val="right" w:pos="4320"/>
              </w:tabs>
              <w:jc w:val="left"/>
              <w:rPr>
                <w:sz w:val="18"/>
                <w:szCs w:val="18"/>
              </w:rPr>
            </w:pPr>
          </w:p>
          <w:p w14:paraId="5F06F0EC" w14:textId="27D3BD4C" w:rsidR="001B4463" w:rsidRPr="00A1156E" w:rsidRDefault="001C40CF" w:rsidP="001B4463">
            <w:pPr>
              <w:widowControl w:val="0"/>
              <w:tabs>
                <w:tab w:val="right" w:pos="4320"/>
              </w:tabs>
              <w:jc w:val="left"/>
              <w:rPr>
                <w:b/>
                <w:sz w:val="18"/>
                <w:szCs w:val="18"/>
              </w:rPr>
            </w:pPr>
            <w:r w:rsidRPr="00A1156E">
              <w:rPr>
                <w:sz w:val="18"/>
                <w:szCs w:val="18"/>
              </w:rPr>
              <w:t>(“Party A”)</w:t>
            </w:r>
          </w:p>
        </w:tc>
        <w:tc>
          <w:tcPr>
            <w:tcW w:w="5040" w:type="dxa"/>
          </w:tcPr>
          <w:p w14:paraId="2855736A" w14:textId="166A8D1D" w:rsidR="001B4463" w:rsidRPr="00A1156E" w:rsidRDefault="001C40CF" w:rsidP="001B4463">
            <w:pPr>
              <w:widowControl w:val="0"/>
              <w:tabs>
                <w:tab w:val="right" w:pos="4320"/>
              </w:tabs>
              <w:jc w:val="left"/>
              <w:rPr>
                <w:sz w:val="18"/>
                <w:szCs w:val="18"/>
              </w:rPr>
            </w:pPr>
            <w:r w:rsidRPr="00A1156E">
              <w:rPr>
                <w:b/>
                <w:sz w:val="18"/>
                <w:szCs w:val="18"/>
              </w:rPr>
              <w:t>Name:</w:t>
            </w:r>
            <w:r w:rsidRPr="00A1156E">
              <w:rPr>
                <w:sz w:val="18"/>
                <w:szCs w:val="18"/>
              </w:rPr>
              <w:t xml:space="preserve">  Pacific Gas and Electric Company, a California corporation, </w:t>
            </w:r>
            <w:r w:rsidR="00A1156E" w:rsidRPr="00A1156E">
              <w:rPr>
                <w:sz w:val="18"/>
                <w:szCs w:val="18"/>
              </w:rPr>
              <w:t>limited for all purposes hereunder to its Central Procurement Entity Function</w:t>
            </w:r>
          </w:p>
          <w:p w14:paraId="437CC104" w14:textId="521918A8" w:rsidR="001B4463" w:rsidRPr="00A1156E" w:rsidRDefault="001C40CF" w:rsidP="000B5862">
            <w:pPr>
              <w:widowControl w:val="0"/>
              <w:tabs>
                <w:tab w:val="right" w:pos="4320"/>
              </w:tabs>
              <w:rPr>
                <w:sz w:val="18"/>
                <w:szCs w:val="18"/>
              </w:rPr>
            </w:pPr>
            <w:r w:rsidRPr="00A1156E">
              <w:rPr>
                <w:sz w:val="18"/>
                <w:szCs w:val="18"/>
              </w:rPr>
              <w:t>(“Party B”)</w:t>
            </w:r>
          </w:p>
        </w:tc>
      </w:tr>
      <w:tr w:rsidR="002D1676" w14:paraId="6DCB7E35" w14:textId="77777777" w:rsidTr="002D1A01">
        <w:tc>
          <w:tcPr>
            <w:tcW w:w="4518" w:type="dxa"/>
          </w:tcPr>
          <w:p w14:paraId="05E1CEE3" w14:textId="77777777" w:rsidR="001B4463" w:rsidRPr="00A1156E" w:rsidRDefault="001C40CF" w:rsidP="001B4463">
            <w:pPr>
              <w:widowControl w:val="0"/>
              <w:tabs>
                <w:tab w:val="right" w:pos="4320"/>
              </w:tabs>
              <w:jc w:val="left"/>
              <w:rPr>
                <w:sz w:val="18"/>
                <w:szCs w:val="18"/>
              </w:rPr>
            </w:pPr>
            <w:r w:rsidRPr="00A1156E">
              <w:rPr>
                <w:sz w:val="18"/>
                <w:szCs w:val="18"/>
              </w:rPr>
              <w:t>All Notices:</w:t>
            </w:r>
          </w:p>
        </w:tc>
        <w:tc>
          <w:tcPr>
            <w:tcW w:w="5040" w:type="dxa"/>
          </w:tcPr>
          <w:p w14:paraId="42CA8134" w14:textId="77777777" w:rsidR="001B4463" w:rsidRPr="00A1156E" w:rsidRDefault="001C40CF" w:rsidP="004E6911">
            <w:pPr>
              <w:widowControl w:val="0"/>
              <w:tabs>
                <w:tab w:val="right" w:pos="4320"/>
              </w:tabs>
              <w:spacing w:after="240"/>
              <w:jc w:val="left"/>
              <w:rPr>
                <w:sz w:val="18"/>
                <w:szCs w:val="18"/>
              </w:rPr>
            </w:pPr>
            <w:r w:rsidRPr="00A1156E">
              <w:rPr>
                <w:sz w:val="18"/>
                <w:szCs w:val="18"/>
              </w:rPr>
              <w:t>All Notices:</w:t>
            </w:r>
          </w:p>
        </w:tc>
      </w:tr>
      <w:tr w:rsidR="002D1676" w14:paraId="0EA20299" w14:textId="77777777" w:rsidTr="002D1A01">
        <w:tc>
          <w:tcPr>
            <w:tcW w:w="4518" w:type="dxa"/>
          </w:tcPr>
          <w:p w14:paraId="32B59AAF" w14:textId="77777777" w:rsidR="00F51FE1" w:rsidRPr="00A1156E" w:rsidRDefault="001C40CF" w:rsidP="002D1A01">
            <w:pPr>
              <w:widowControl w:val="0"/>
              <w:tabs>
                <w:tab w:val="right" w:pos="4320"/>
              </w:tabs>
              <w:jc w:val="left"/>
              <w:rPr>
                <w:sz w:val="18"/>
                <w:szCs w:val="18"/>
              </w:rPr>
            </w:pPr>
            <w:r w:rsidRPr="00A1156E">
              <w:rPr>
                <w:sz w:val="18"/>
                <w:szCs w:val="18"/>
              </w:rPr>
              <w:t>Delivery Address:</w:t>
            </w:r>
          </w:p>
        </w:tc>
        <w:tc>
          <w:tcPr>
            <w:tcW w:w="5040" w:type="dxa"/>
          </w:tcPr>
          <w:p w14:paraId="7BFC06E9" w14:textId="77777777" w:rsidR="00F51FE1" w:rsidRPr="00A1156E" w:rsidRDefault="001C40CF" w:rsidP="002D1A01">
            <w:pPr>
              <w:widowControl w:val="0"/>
              <w:tabs>
                <w:tab w:val="right" w:pos="4320"/>
              </w:tabs>
              <w:jc w:val="left"/>
              <w:rPr>
                <w:sz w:val="18"/>
                <w:szCs w:val="18"/>
              </w:rPr>
            </w:pPr>
            <w:r w:rsidRPr="00A1156E">
              <w:rPr>
                <w:sz w:val="18"/>
                <w:szCs w:val="18"/>
              </w:rPr>
              <w:t>Delivery Address:</w:t>
            </w:r>
          </w:p>
        </w:tc>
      </w:tr>
      <w:tr w:rsidR="002D1676" w14:paraId="72A0078C" w14:textId="77777777" w:rsidTr="002D1A01">
        <w:tc>
          <w:tcPr>
            <w:tcW w:w="4518" w:type="dxa"/>
          </w:tcPr>
          <w:p w14:paraId="784A550F" w14:textId="77777777" w:rsidR="00F51FE1" w:rsidRPr="00A1156E" w:rsidRDefault="001C40CF" w:rsidP="002D1A01">
            <w:pPr>
              <w:widowControl w:val="0"/>
              <w:tabs>
                <w:tab w:val="right" w:pos="4320"/>
              </w:tabs>
              <w:jc w:val="left"/>
              <w:rPr>
                <w:sz w:val="18"/>
                <w:szCs w:val="18"/>
              </w:rPr>
            </w:pPr>
            <w:r w:rsidRPr="00A1156E">
              <w:rPr>
                <w:sz w:val="18"/>
                <w:szCs w:val="18"/>
              </w:rPr>
              <w:t xml:space="preserve">Street: </w:t>
            </w:r>
          </w:p>
        </w:tc>
        <w:tc>
          <w:tcPr>
            <w:tcW w:w="5040" w:type="dxa"/>
          </w:tcPr>
          <w:p w14:paraId="3E9044B4" w14:textId="0E2F6CC6" w:rsidR="00F51FE1" w:rsidRPr="00A1156E" w:rsidRDefault="000B5862" w:rsidP="000B5862">
            <w:pPr>
              <w:widowControl w:val="0"/>
              <w:tabs>
                <w:tab w:val="right" w:pos="4320"/>
              </w:tabs>
              <w:jc w:val="left"/>
              <w:rPr>
                <w:sz w:val="18"/>
                <w:szCs w:val="18"/>
              </w:rPr>
            </w:pPr>
            <w:r w:rsidRPr="00A1156E">
              <w:rPr>
                <w:sz w:val="18"/>
                <w:szCs w:val="18"/>
              </w:rPr>
              <w:t>P.O. Box 770000</w:t>
            </w:r>
          </w:p>
          <w:p w14:paraId="56AE2A77" w14:textId="037EBD12" w:rsidR="000B5862" w:rsidRPr="00A1156E" w:rsidRDefault="000B5862" w:rsidP="000B5862">
            <w:pPr>
              <w:widowControl w:val="0"/>
              <w:tabs>
                <w:tab w:val="right" w:pos="4320"/>
              </w:tabs>
              <w:jc w:val="left"/>
              <w:rPr>
                <w:sz w:val="18"/>
                <w:szCs w:val="18"/>
              </w:rPr>
            </w:pPr>
            <w:r w:rsidRPr="00A1156E">
              <w:rPr>
                <w:sz w:val="18"/>
                <w:szCs w:val="18"/>
              </w:rPr>
              <w:t>OGO, Suite 250</w:t>
            </w:r>
          </w:p>
        </w:tc>
      </w:tr>
      <w:tr w:rsidR="002D1676" w14:paraId="6EECBD86" w14:textId="77777777" w:rsidTr="002D1A01">
        <w:tc>
          <w:tcPr>
            <w:tcW w:w="4518" w:type="dxa"/>
          </w:tcPr>
          <w:p w14:paraId="004E6A6B" w14:textId="77777777" w:rsidR="00F51FE1" w:rsidRPr="00A1156E" w:rsidRDefault="001C40CF" w:rsidP="002D1A01">
            <w:pPr>
              <w:widowControl w:val="0"/>
              <w:jc w:val="left"/>
              <w:rPr>
                <w:sz w:val="18"/>
                <w:szCs w:val="18"/>
              </w:rPr>
            </w:pPr>
            <w:r w:rsidRPr="00A1156E">
              <w:rPr>
                <w:sz w:val="18"/>
                <w:szCs w:val="18"/>
              </w:rPr>
              <w:t xml:space="preserve">City:                   State:        Zip:  </w:t>
            </w:r>
          </w:p>
        </w:tc>
        <w:tc>
          <w:tcPr>
            <w:tcW w:w="5040" w:type="dxa"/>
          </w:tcPr>
          <w:p w14:paraId="5B55355B" w14:textId="4C6CA752" w:rsidR="00F51FE1" w:rsidRPr="00A1156E" w:rsidRDefault="001C40CF" w:rsidP="002D1A01">
            <w:pPr>
              <w:widowControl w:val="0"/>
              <w:jc w:val="left"/>
              <w:rPr>
                <w:sz w:val="18"/>
                <w:szCs w:val="18"/>
              </w:rPr>
            </w:pPr>
            <w:r w:rsidRPr="00A1156E">
              <w:rPr>
                <w:sz w:val="18"/>
                <w:szCs w:val="18"/>
              </w:rPr>
              <w:t xml:space="preserve">San Francisco, CA </w:t>
            </w:r>
            <w:r w:rsidR="000B5862" w:rsidRPr="00A1156E">
              <w:rPr>
                <w:sz w:val="18"/>
                <w:szCs w:val="18"/>
              </w:rPr>
              <w:t>94177</w:t>
            </w:r>
          </w:p>
        </w:tc>
      </w:tr>
      <w:tr w:rsidR="002D1676" w14:paraId="660F5AF4" w14:textId="77777777" w:rsidTr="002D1A01">
        <w:tc>
          <w:tcPr>
            <w:tcW w:w="4518" w:type="dxa"/>
          </w:tcPr>
          <w:p w14:paraId="0B2FA143" w14:textId="77777777" w:rsidR="00F51FE1" w:rsidRPr="00A1156E" w:rsidRDefault="00F51FE1" w:rsidP="002D1A01">
            <w:pPr>
              <w:widowControl w:val="0"/>
              <w:tabs>
                <w:tab w:val="right" w:pos="4320"/>
              </w:tabs>
              <w:jc w:val="left"/>
              <w:rPr>
                <w:sz w:val="18"/>
                <w:szCs w:val="18"/>
              </w:rPr>
            </w:pPr>
          </w:p>
        </w:tc>
        <w:tc>
          <w:tcPr>
            <w:tcW w:w="5040" w:type="dxa"/>
          </w:tcPr>
          <w:p w14:paraId="3D4A4A40" w14:textId="77777777" w:rsidR="00F51FE1" w:rsidRPr="00A1156E" w:rsidRDefault="00F51FE1" w:rsidP="002D1A01">
            <w:pPr>
              <w:widowControl w:val="0"/>
              <w:tabs>
                <w:tab w:val="right" w:pos="4320"/>
              </w:tabs>
              <w:jc w:val="left"/>
              <w:rPr>
                <w:sz w:val="18"/>
                <w:szCs w:val="18"/>
              </w:rPr>
            </w:pPr>
          </w:p>
        </w:tc>
      </w:tr>
      <w:tr w:rsidR="002D1676" w14:paraId="37A5B87E" w14:textId="77777777" w:rsidTr="002D1A01">
        <w:tc>
          <w:tcPr>
            <w:tcW w:w="4518" w:type="dxa"/>
          </w:tcPr>
          <w:p w14:paraId="76213D72" w14:textId="7F5BC1E3" w:rsidR="00F51FE1" w:rsidRPr="00A1156E" w:rsidRDefault="001C40CF" w:rsidP="002D1A01">
            <w:pPr>
              <w:widowControl w:val="0"/>
              <w:tabs>
                <w:tab w:val="right" w:pos="4320"/>
              </w:tabs>
              <w:jc w:val="left"/>
              <w:rPr>
                <w:sz w:val="18"/>
                <w:szCs w:val="18"/>
              </w:rPr>
            </w:pPr>
            <w:r w:rsidRPr="00A1156E">
              <w:rPr>
                <w:sz w:val="18"/>
                <w:szCs w:val="18"/>
              </w:rPr>
              <w:t>Mail Address: (if different from above)</w:t>
            </w:r>
          </w:p>
        </w:tc>
        <w:tc>
          <w:tcPr>
            <w:tcW w:w="5040" w:type="dxa"/>
          </w:tcPr>
          <w:p w14:paraId="743F3373" w14:textId="6B87A036" w:rsidR="00F51FE1" w:rsidRPr="00A1156E" w:rsidRDefault="001C40CF" w:rsidP="002D1A01">
            <w:pPr>
              <w:widowControl w:val="0"/>
              <w:tabs>
                <w:tab w:val="right" w:pos="4320"/>
              </w:tabs>
              <w:jc w:val="left"/>
              <w:rPr>
                <w:sz w:val="18"/>
                <w:szCs w:val="18"/>
              </w:rPr>
            </w:pPr>
            <w:r w:rsidRPr="00A1156E">
              <w:rPr>
                <w:sz w:val="18"/>
                <w:szCs w:val="18"/>
              </w:rPr>
              <w:t>Mail Address</w:t>
            </w:r>
            <w:r w:rsidR="000B5862" w:rsidRPr="00A1156E">
              <w:rPr>
                <w:sz w:val="18"/>
                <w:szCs w:val="18"/>
              </w:rPr>
              <w:t>: (if different from above)</w:t>
            </w:r>
            <w:r w:rsidRPr="00A1156E">
              <w:rPr>
                <w:sz w:val="18"/>
                <w:szCs w:val="18"/>
              </w:rPr>
              <w:t>:</w:t>
            </w:r>
          </w:p>
        </w:tc>
      </w:tr>
      <w:tr w:rsidR="002D1676" w14:paraId="0857C2FB" w14:textId="77777777" w:rsidTr="002D1A01">
        <w:tc>
          <w:tcPr>
            <w:tcW w:w="4518" w:type="dxa"/>
          </w:tcPr>
          <w:p w14:paraId="6BA37B09" w14:textId="77777777" w:rsidR="00F51FE1" w:rsidRPr="00A1156E" w:rsidRDefault="00F51FE1" w:rsidP="002D1A01">
            <w:pPr>
              <w:widowControl w:val="0"/>
              <w:tabs>
                <w:tab w:val="right" w:pos="4320"/>
              </w:tabs>
              <w:jc w:val="left"/>
              <w:rPr>
                <w:sz w:val="18"/>
                <w:szCs w:val="18"/>
              </w:rPr>
            </w:pPr>
          </w:p>
        </w:tc>
        <w:tc>
          <w:tcPr>
            <w:tcW w:w="5040" w:type="dxa"/>
          </w:tcPr>
          <w:p w14:paraId="0629B029" w14:textId="6B38BC0B" w:rsidR="00F27D94" w:rsidRPr="00A1156E" w:rsidRDefault="00F27D94" w:rsidP="000B5862">
            <w:pPr>
              <w:widowControl w:val="0"/>
              <w:tabs>
                <w:tab w:val="right" w:pos="4320"/>
              </w:tabs>
              <w:jc w:val="left"/>
              <w:rPr>
                <w:sz w:val="18"/>
                <w:szCs w:val="18"/>
              </w:rPr>
            </w:pPr>
          </w:p>
        </w:tc>
      </w:tr>
      <w:tr w:rsidR="00A02B22" w14:paraId="009567B2" w14:textId="77777777" w:rsidTr="002D1A01">
        <w:tc>
          <w:tcPr>
            <w:tcW w:w="4518" w:type="dxa"/>
          </w:tcPr>
          <w:p w14:paraId="29DFBF7F" w14:textId="77777777" w:rsidR="00A02B22" w:rsidRPr="00A1156E" w:rsidRDefault="00A02B22" w:rsidP="00A02B22">
            <w:pPr>
              <w:widowControl w:val="0"/>
              <w:tabs>
                <w:tab w:val="right" w:pos="4320"/>
              </w:tabs>
              <w:jc w:val="left"/>
              <w:rPr>
                <w:sz w:val="18"/>
                <w:szCs w:val="18"/>
              </w:rPr>
            </w:pPr>
            <w:r w:rsidRPr="00A1156E">
              <w:rPr>
                <w:sz w:val="18"/>
                <w:szCs w:val="18"/>
              </w:rPr>
              <w:t>Attn:</w:t>
            </w:r>
          </w:p>
          <w:p w14:paraId="07C23A57" w14:textId="77777777" w:rsidR="00A02B22" w:rsidRPr="00A1156E" w:rsidRDefault="00A02B22" w:rsidP="00A02B22">
            <w:pPr>
              <w:widowControl w:val="0"/>
              <w:tabs>
                <w:tab w:val="right" w:pos="4320"/>
              </w:tabs>
              <w:jc w:val="left"/>
              <w:rPr>
                <w:sz w:val="18"/>
                <w:szCs w:val="18"/>
              </w:rPr>
            </w:pPr>
            <w:r w:rsidRPr="00A1156E">
              <w:rPr>
                <w:sz w:val="18"/>
                <w:szCs w:val="18"/>
              </w:rPr>
              <w:t>(email)</w:t>
            </w:r>
          </w:p>
        </w:tc>
        <w:tc>
          <w:tcPr>
            <w:tcW w:w="5040" w:type="dxa"/>
          </w:tcPr>
          <w:p w14:paraId="0E4214DC" w14:textId="77777777" w:rsidR="00F27D94" w:rsidRPr="00A1156E" w:rsidRDefault="00A02B22" w:rsidP="00A02B22">
            <w:pPr>
              <w:widowControl w:val="0"/>
              <w:tabs>
                <w:tab w:val="right" w:pos="4320"/>
              </w:tabs>
              <w:jc w:val="left"/>
              <w:rPr>
                <w:sz w:val="18"/>
                <w:szCs w:val="18"/>
              </w:rPr>
            </w:pPr>
            <w:r w:rsidRPr="00A1156E">
              <w:rPr>
                <w:sz w:val="18"/>
                <w:szCs w:val="18"/>
              </w:rPr>
              <w:t>Attn: Kelly Everidge</w:t>
            </w:r>
          </w:p>
          <w:p w14:paraId="07C08AB1" w14:textId="5BAE7D6B" w:rsidR="00A02B22" w:rsidRPr="00A1156E" w:rsidRDefault="00F27D94" w:rsidP="00A02B22">
            <w:pPr>
              <w:widowControl w:val="0"/>
              <w:tabs>
                <w:tab w:val="right" w:pos="4320"/>
              </w:tabs>
              <w:jc w:val="left"/>
              <w:rPr>
                <w:sz w:val="18"/>
                <w:szCs w:val="18"/>
              </w:rPr>
            </w:pPr>
            <w:r w:rsidRPr="00A1156E">
              <w:rPr>
                <w:sz w:val="18"/>
                <w:szCs w:val="18"/>
              </w:rPr>
              <w:t>(Kelly.Everidge@pge.com)</w:t>
            </w:r>
          </w:p>
        </w:tc>
      </w:tr>
      <w:tr w:rsidR="00A02B22" w14:paraId="0E365A45" w14:textId="77777777" w:rsidTr="002D1A01">
        <w:tc>
          <w:tcPr>
            <w:tcW w:w="4518" w:type="dxa"/>
          </w:tcPr>
          <w:p w14:paraId="7EB7BE66" w14:textId="77777777" w:rsidR="00A02B22" w:rsidRPr="00A1156E" w:rsidRDefault="00A02B22" w:rsidP="00A02B22">
            <w:pPr>
              <w:widowControl w:val="0"/>
              <w:tabs>
                <w:tab w:val="right" w:pos="4320"/>
              </w:tabs>
              <w:jc w:val="left"/>
              <w:rPr>
                <w:sz w:val="18"/>
                <w:szCs w:val="18"/>
                <w:u w:val="single"/>
              </w:rPr>
            </w:pPr>
            <w:r w:rsidRPr="00A1156E">
              <w:rPr>
                <w:sz w:val="18"/>
                <w:szCs w:val="18"/>
              </w:rPr>
              <w:t xml:space="preserve">Phone:  </w:t>
            </w:r>
          </w:p>
        </w:tc>
        <w:tc>
          <w:tcPr>
            <w:tcW w:w="5040" w:type="dxa"/>
          </w:tcPr>
          <w:p w14:paraId="45310C6B" w14:textId="31AFCC72" w:rsidR="00A02B22" w:rsidRPr="00A1156E" w:rsidRDefault="00A02B22" w:rsidP="00A02B22">
            <w:pPr>
              <w:widowControl w:val="0"/>
              <w:tabs>
                <w:tab w:val="right" w:pos="4320"/>
              </w:tabs>
              <w:jc w:val="left"/>
              <w:rPr>
                <w:sz w:val="18"/>
                <w:szCs w:val="18"/>
              </w:rPr>
            </w:pPr>
            <w:r w:rsidRPr="00A1156E">
              <w:rPr>
                <w:sz w:val="18"/>
                <w:szCs w:val="18"/>
              </w:rPr>
              <w:t>Senior Director, Contract Management, Settlement</w:t>
            </w:r>
            <w:r w:rsidR="00754A89">
              <w:rPr>
                <w:sz w:val="18"/>
                <w:szCs w:val="18"/>
              </w:rPr>
              <w:t>s</w:t>
            </w:r>
            <w:r w:rsidRPr="00A1156E">
              <w:rPr>
                <w:sz w:val="18"/>
                <w:szCs w:val="18"/>
              </w:rPr>
              <w:t xml:space="preserve"> &amp; Reporting</w:t>
            </w:r>
          </w:p>
          <w:p w14:paraId="6A104BBC" w14:textId="6E93EF7D" w:rsidR="00F27D94" w:rsidRPr="00A1156E" w:rsidRDefault="00F27D94" w:rsidP="00A02B22">
            <w:pPr>
              <w:widowControl w:val="0"/>
              <w:tabs>
                <w:tab w:val="right" w:pos="4320"/>
              </w:tabs>
              <w:jc w:val="left"/>
              <w:rPr>
                <w:sz w:val="18"/>
                <w:szCs w:val="18"/>
              </w:rPr>
            </w:pPr>
            <w:r w:rsidRPr="00A1156E">
              <w:rPr>
                <w:sz w:val="18"/>
                <w:szCs w:val="18"/>
              </w:rPr>
              <w:t>Phone: (415) 517-6544</w:t>
            </w:r>
          </w:p>
        </w:tc>
      </w:tr>
      <w:tr w:rsidR="002D1676" w14:paraId="45294677" w14:textId="77777777" w:rsidTr="002D1A01">
        <w:tc>
          <w:tcPr>
            <w:tcW w:w="4518" w:type="dxa"/>
          </w:tcPr>
          <w:p w14:paraId="5631BCEA" w14:textId="77777777" w:rsidR="00F51FE1" w:rsidRPr="00A1156E" w:rsidRDefault="00F51FE1" w:rsidP="002D1A01">
            <w:pPr>
              <w:widowControl w:val="0"/>
              <w:tabs>
                <w:tab w:val="right" w:pos="4320"/>
              </w:tabs>
              <w:jc w:val="left"/>
              <w:rPr>
                <w:sz w:val="18"/>
                <w:szCs w:val="18"/>
                <w:u w:val="single"/>
              </w:rPr>
            </w:pPr>
          </w:p>
        </w:tc>
        <w:tc>
          <w:tcPr>
            <w:tcW w:w="5040" w:type="dxa"/>
          </w:tcPr>
          <w:p w14:paraId="4D295185" w14:textId="77777777" w:rsidR="00F51FE1" w:rsidRPr="00A1156E" w:rsidRDefault="00F51FE1" w:rsidP="002D1A01">
            <w:pPr>
              <w:widowControl w:val="0"/>
              <w:tabs>
                <w:tab w:val="right" w:pos="4320"/>
              </w:tabs>
              <w:jc w:val="left"/>
              <w:rPr>
                <w:sz w:val="18"/>
                <w:szCs w:val="18"/>
                <w:u w:val="single"/>
              </w:rPr>
            </w:pPr>
          </w:p>
        </w:tc>
      </w:tr>
      <w:tr w:rsidR="002D1676" w14:paraId="78FD3927" w14:textId="77777777" w:rsidTr="002D1A01">
        <w:tc>
          <w:tcPr>
            <w:tcW w:w="4518" w:type="dxa"/>
          </w:tcPr>
          <w:p w14:paraId="1F7E2299" w14:textId="77777777" w:rsidR="00F51FE1" w:rsidRPr="00A1156E" w:rsidRDefault="001C40CF" w:rsidP="002D1A01">
            <w:pPr>
              <w:widowControl w:val="0"/>
              <w:tabs>
                <w:tab w:val="right" w:pos="4320"/>
              </w:tabs>
              <w:jc w:val="left"/>
              <w:rPr>
                <w:b/>
                <w:bCs/>
                <w:sz w:val="18"/>
                <w:szCs w:val="18"/>
              </w:rPr>
            </w:pPr>
            <w:r w:rsidRPr="00A1156E">
              <w:rPr>
                <w:b/>
                <w:bCs/>
                <w:sz w:val="18"/>
                <w:szCs w:val="18"/>
              </w:rPr>
              <w:t xml:space="preserve">Invoices and Payments:  </w:t>
            </w:r>
          </w:p>
        </w:tc>
        <w:tc>
          <w:tcPr>
            <w:tcW w:w="5040" w:type="dxa"/>
          </w:tcPr>
          <w:p w14:paraId="4502016B" w14:textId="77777777" w:rsidR="00F51FE1" w:rsidRPr="00A1156E" w:rsidRDefault="001C40CF" w:rsidP="002D1A01">
            <w:pPr>
              <w:widowControl w:val="0"/>
              <w:tabs>
                <w:tab w:val="right" w:pos="4320"/>
              </w:tabs>
              <w:jc w:val="left"/>
              <w:rPr>
                <w:b/>
                <w:bCs/>
                <w:sz w:val="18"/>
                <w:szCs w:val="18"/>
              </w:rPr>
            </w:pPr>
            <w:r w:rsidRPr="00A1156E">
              <w:rPr>
                <w:b/>
                <w:bCs/>
                <w:sz w:val="18"/>
                <w:szCs w:val="18"/>
              </w:rPr>
              <w:t>Invoices and Payments:</w:t>
            </w:r>
          </w:p>
        </w:tc>
      </w:tr>
      <w:tr w:rsidR="00A02B22" w14:paraId="002F0B79" w14:textId="77777777" w:rsidTr="002D1A01">
        <w:tc>
          <w:tcPr>
            <w:tcW w:w="4518" w:type="dxa"/>
          </w:tcPr>
          <w:p w14:paraId="25867612" w14:textId="77777777" w:rsidR="00A02B22" w:rsidRPr="00A1156E" w:rsidRDefault="00A02B22" w:rsidP="00A02B22">
            <w:pPr>
              <w:widowControl w:val="0"/>
              <w:tabs>
                <w:tab w:val="left" w:pos="360"/>
                <w:tab w:val="right" w:pos="4320"/>
              </w:tabs>
              <w:ind w:left="360"/>
              <w:jc w:val="left"/>
              <w:rPr>
                <w:sz w:val="18"/>
                <w:szCs w:val="18"/>
                <w:u w:val="single"/>
              </w:rPr>
            </w:pPr>
            <w:r w:rsidRPr="00A1156E">
              <w:rPr>
                <w:sz w:val="18"/>
                <w:szCs w:val="18"/>
              </w:rPr>
              <w:t xml:space="preserve">Attn:  </w:t>
            </w:r>
          </w:p>
        </w:tc>
        <w:tc>
          <w:tcPr>
            <w:tcW w:w="5040" w:type="dxa"/>
          </w:tcPr>
          <w:p w14:paraId="326C4F68" w14:textId="6A074526" w:rsidR="00F43E49" w:rsidRPr="00A1156E" w:rsidRDefault="00A02B22" w:rsidP="000E593F">
            <w:pPr>
              <w:widowControl w:val="0"/>
              <w:tabs>
                <w:tab w:val="left" w:pos="360"/>
                <w:tab w:val="right" w:pos="4320"/>
              </w:tabs>
              <w:ind w:left="360"/>
              <w:jc w:val="left"/>
              <w:rPr>
                <w:sz w:val="18"/>
                <w:szCs w:val="18"/>
                <w:u w:val="single"/>
              </w:rPr>
            </w:pPr>
            <w:r w:rsidRPr="00A1156E">
              <w:rPr>
                <w:sz w:val="18"/>
                <w:szCs w:val="18"/>
              </w:rPr>
              <w:t xml:space="preserve">Attn: </w:t>
            </w:r>
            <w:r w:rsidR="008C3494" w:rsidRPr="00A1156E">
              <w:rPr>
                <w:sz w:val="18"/>
                <w:szCs w:val="18"/>
              </w:rPr>
              <w:t>Kelly Wong</w:t>
            </w:r>
            <w:r w:rsidR="000E593F" w:rsidRPr="00A1156E">
              <w:rPr>
                <w:sz w:val="18"/>
                <w:szCs w:val="18"/>
              </w:rPr>
              <w:t xml:space="preserve"> </w:t>
            </w:r>
            <w:r w:rsidR="008C3494" w:rsidRPr="00A1156E">
              <w:rPr>
                <w:sz w:val="18"/>
                <w:szCs w:val="18"/>
                <w:u w:val="single"/>
              </w:rPr>
              <w:t>(K.Wong@pge.com)</w:t>
            </w:r>
          </w:p>
        </w:tc>
      </w:tr>
      <w:tr w:rsidR="00A02B22" w14:paraId="2C156070" w14:textId="77777777" w:rsidTr="002D1A01">
        <w:tc>
          <w:tcPr>
            <w:tcW w:w="4518" w:type="dxa"/>
          </w:tcPr>
          <w:p w14:paraId="27D7C766" w14:textId="77777777" w:rsidR="00A02B22" w:rsidRPr="00A1156E" w:rsidRDefault="00A02B22" w:rsidP="00A02B22">
            <w:pPr>
              <w:widowControl w:val="0"/>
              <w:tabs>
                <w:tab w:val="left" w:pos="360"/>
                <w:tab w:val="right" w:pos="4320"/>
              </w:tabs>
              <w:ind w:left="360"/>
              <w:jc w:val="left"/>
              <w:rPr>
                <w:sz w:val="18"/>
                <w:szCs w:val="18"/>
              </w:rPr>
            </w:pPr>
            <w:r w:rsidRPr="00A1156E">
              <w:rPr>
                <w:sz w:val="18"/>
                <w:szCs w:val="18"/>
              </w:rPr>
              <w:t>(email)</w:t>
            </w:r>
          </w:p>
        </w:tc>
        <w:tc>
          <w:tcPr>
            <w:tcW w:w="5040" w:type="dxa"/>
          </w:tcPr>
          <w:p w14:paraId="1C094E81" w14:textId="4CB6BA41" w:rsidR="00F43E49" w:rsidRPr="00A1156E" w:rsidRDefault="00A02B22" w:rsidP="00F43E49">
            <w:pPr>
              <w:widowControl w:val="0"/>
              <w:tabs>
                <w:tab w:val="left" w:pos="360"/>
                <w:tab w:val="right" w:pos="4320"/>
              </w:tabs>
              <w:ind w:left="360"/>
              <w:jc w:val="left"/>
              <w:rPr>
                <w:sz w:val="18"/>
                <w:szCs w:val="18"/>
                <w:u w:val="single"/>
              </w:rPr>
            </w:pPr>
            <w:r w:rsidRPr="00A1156E">
              <w:rPr>
                <w:sz w:val="18"/>
                <w:szCs w:val="18"/>
              </w:rPr>
              <w:t xml:space="preserve">Senior Manager, </w:t>
            </w:r>
            <w:r w:rsidR="00A42DF0" w:rsidRPr="00A1156E">
              <w:rPr>
                <w:sz w:val="18"/>
                <w:szCs w:val="18"/>
              </w:rPr>
              <w:t>E</w:t>
            </w:r>
            <w:r w:rsidR="00754A89">
              <w:rPr>
                <w:sz w:val="18"/>
                <w:szCs w:val="18"/>
              </w:rPr>
              <w:t>nergy</w:t>
            </w:r>
            <w:r w:rsidR="00A42DF0" w:rsidRPr="00A1156E">
              <w:rPr>
                <w:sz w:val="18"/>
                <w:szCs w:val="18"/>
              </w:rPr>
              <w:t xml:space="preserve"> </w:t>
            </w:r>
            <w:r w:rsidRPr="00A1156E">
              <w:rPr>
                <w:sz w:val="18"/>
                <w:szCs w:val="18"/>
              </w:rPr>
              <w:t>Settlements</w:t>
            </w:r>
          </w:p>
        </w:tc>
      </w:tr>
      <w:tr w:rsidR="00A02B22" w14:paraId="0EB2E30F" w14:textId="77777777" w:rsidTr="002D1A01">
        <w:tc>
          <w:tcPr>
            <w:tcW w:w="4518" w:type="dxa"/>
          </w:tcPr>
          <w:p w14:paraId="4B217DA8" w14:textId="77777777" w:rsidR="00A02B22" w:rsidRPr="00A1156E" w:rsidRDefault="00A02B22" w:rsidP="00A02B22">
            <w:pPr>
              <w:widowControl w:val="0"/>
              <w:tabs>
                <w:tab w:val="left" w:pos="360"/>
                <w:tab w:val="right" w:pos="4320"/>
              </w:tabs>
              <w:ind w:left="360"/>
              <w:jc w:val="left"/>
              <w:rPr>
                <w:sz w:val="18"/>
                <w:szCs w:val="18"/>
                <w:u w:val="single"/>
              </w:rPr>
            </w:pPr>
            <w:r w:rsidRPr="00A1156E">
              <w:rPr>
                <w:sz w:val="18"/>
                <w:szCs w:val="18"/>
              </w:rPr>
              <w:t xml:space="preserve">Phone:  </w:t>
            </w:r>
          </w:p>
        </w:tc>
        <w:tc>
          <w:tcPr>
            <w:tcW w:w="5040" w:type="dxa"/>
          </w:tcPr>
          <w:p w14:paraId="1659D0FB" w14:textId="467166C3" w:rsidR="00A02B22" w:rsidRPr="00A1156E" w:rsidRDefault="00A02B22" w:rsidP="00A02B22">
            <w:pPr>
              <w:widowControl w:val="0"/>
              <w:tabs>
                <w:tab w:val="left" w:pos="360"/>
                <w:tab w:val="right" w:pos="4320"/>
              </w:tabs>
              <w:ind w:left="360"/>
              <w:jc w:val="left"/>
              <w:rPr>
                <w:sz w:val="18"/>
                <w:szCs w:val="18"/>
              </w:rPr>
            </w:pPr>
            <w:r w:rsidRPr="00A1156E">
              <w:rPr>
                <w:sz w:val="18"/>
                <w:szCs w:val="18"/>
              </w:rPr>
              <w:t>Phone: (510) 220-6064</w:t>
            </w:r>
          </w:p>
        </w:tc>
      </w:tr>
      <w:tr w:rsidR="002D1676" w14:paraId="6004AD76" w14:textId="77777777" w:rsidTr="002D1A01">
        <w:tc>
          <w:tcPr>
            <w:tcW w:w="4518" w:type="dxa"/>
          </w:tcPr>
          <w:p w14:paraId="7FBD80ED" w14:textId="77777777" w:rsidR="00F51FE1" w:rsidRPr="00A1156E" w:rsidRDefault="00F51FE1" w:rsidP="002D1A01">
            <w:pPr>
              <w:widowControl w:val="0"/>
              <w:tabs>
                <w:tab w:val="left" w:pos="360"/>
                <w:tab w:val="right" w:pos="4320"/>
              </w:tabs>
              <w:ind w:left="360"/>
              <w:jc w:val="left"/>
              <w:rPr>
                <w:sz w:val="18"/>
                <w:szCs w:val="18"/>
                <w:u w:val="single"/>
              </w:rPr>
            </w:pPr>
          </w:p>
        </w:tc>
        <w:tc>
          <w:tcPr>
            <w:tcW w:w="5040" w:type="dxa"/>
          </w:tcPr>
          <w:p w14:paraId="2407F312" w14:textId="77777777" w:rsidR="00F51FE1" w:rsidRPr="00A1156E" w:rsidRDefault="00F51FE1" w:rsidP="00A02B22">
            <w:pPr>
              <w:widowControl w:val="0"/>
              <w:tabs>
                <w:tab w:val="left" w:pos="360"/>
                <w:tab w:val="right" w:pos="4320"/>
              </w:tabs>
              <w:jc w:val="left"/>
              <w:rPr>
                <w:sz w:val="18"/>
                <w:szCs w:val="18"/>
                <w:u w:val="single"/>
              </w:rPr>
            </w:pPr>
          </w:p>
        </w:tc>
      </w:tr>
      <w:tr w:rsidR="002D1676" w14:paraId="3B859DE5" w14:textId="77777777" w:rsidTr="002D1A01">
        <w:tc>
          <w:tcPr>
            <w:tcW w:w="4518" w:type="dxa"/>
          </w:tcPr>
          <w:p w14:paraId="2E7F835A" w14:textId="77777777" w:rsidR="00F51FE1" w:rsidRPr="00A1156E" w:rsidRDefault="001C40CF" w:rsidP="002D1A01">
            <w:pPr>
              <w:widowControl w:val="0"/>
              <w:tabs>
                <w:tab w:val="right" w:pos="4320"/>
              </w:tabs>
              <w:jc w:val="left"/>
              <w:rPr>
                <w:b/>
                <w:bCs/>
                <w:sz w:val="18"/>
                <w:szCs w:val="18"/>
              </w:rPr>
            </w:pPr>
            <w:r w:rsidRPr="00A1156E">
              <w:rPr>
                <w:b/>
                <w:bCs/>
                <w:sz w:val="18"/>
                <w:szCs w:val="18"/>
              </w:rPr>
              <w:t xml:space="preserve">Scheduling:  </w:t>
            </w:r>
          </w:p>
        </w:tc>
        <w:tc>
          <w:tcPr>
            <w:tcW w:w="5040" w:type="dxa"/>
          </w:tcPr>
          <w:p w14:paraId="6CDED45B" w14:textId="1914409C" w:rsidR="00F51FE1" w:rsidRPr="00A1156E" w:rsidRDefault="00A1156E" w:rsidP="002D1A01">
            <w:pPr>
              <w:widowControl w:val="0"/>
              <w:tabs>
                <w:tab w:val="right" w:pos="4320"/>
              </w:tabs>
              <w:jc w:val="left"/>
              <w:rPr>
                <w:b/>
                <w:bCs/>
                <w:sz w:val="18"/>
                <w:szCs w:val="18"/>
              </w:rPr>
            </w:pPr>
            <w:r w:rsidRPr="00A1156E">
              <w:rPr>
                <w:b/>
                <w:bCs/>
                <w:sz w:val="18"/>
                <w:szCs w:val="18"/>
              </w:rPr>
              <w:t xml:space="preserve">Scheduling:  </w:t>
            </w:r>
          </w:p>
        </w:tc>
      </w:tr>
      <w:tr w:rsidR="002D1676" w14:paraId="1AAD48C1" w14:textId="77777777" w:rsidTr="002D1A01">
        <w:tc>
          <w:tcPr>
            <w:tcW w:w="4518" w:type="dxa"/>
          </w:tcPr>
          <w:p w14:paraId="10073755"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 xml:space="preserve">Attn:  </w:t>
            </w:r>
          </w:p>
          <w:p w14:paraId="7FE262E2"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(email)</w:t>
            </w:r>
          </w:p>
        </w:tc>
        <w:tc>
          <w:tcPr>
            <w:tcW w:w="5040" w:type="dxa"/>
          </w:tcPr>
          <w:p w14:paraId="2AF88259" w14:textId="7F1BC76B" w:rsidR="00F51FE1" w:rsidRPr="00A1156E" w:rsidRDefault="00A1156E" w:rsidP="002D1A01">
            <w:pPr>
              <w:widowControl w:val="0"/>
              <w:tabs>
                <w:tab w:val="left" w:pos="360"/>
                <w:tab w:val="right" w:pos="4320"/>
              </w:tabs>
              <w:ind w:left="360"/>
              <w:jc w:val="left"/>
              <w:rPr>
                <w:sz w:val="18"/>
                <w:szCs w:val="18"/>
              </w:rPr>
            </w:pPr>
            <w:r w:rsidRPr="00A1156E">
              <w:rPr>
                <w:sz w:val="18"/>
                <w:szCs w:val="18"/>
              </w:rPr>
              <w:t>CPERAFilings@pge.com</w:t>
            </w:r>
            <w:r w:rsidRPr="00A1156E" w:rsidDel="00453C48">
              <w:rPr>
                <w:sz w:val="18"/>
                <w:szCs w:val="18"/>
              </w:rPr>
              <w:t xml:space="preserve"> </w:t>
            </w:r>
          </w:p>
        </w:tc>
      </w:tr>
      <w:tr w:rsidR="002D1676" w14:paraId="29D2F407" w14:textId="77777777" w:rsidTr="002D1A01">
        <w:tc>
          <w:tcPr>
            <w:tcW w:w="4518" w:type="dxa"/>
          </w:tcPr>
          <w:p w14:paraId="04CCE557"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 xml:space="preserve">Phone:  </w:t>
            </w:r>
          </w:p>
        </w:tc>
        <w:tc>
          <w:tcPr>
            <w:tcW w:w="5040" w:type="dxa"/>
          </w:tcPr>
          <w:p w14:paraId="4386EA2F" w14:textId="09C94461" w:rsidR="00F51FE1" w:rsidRPr="00A1156E" w:rsidRDefault="00F51FE1" w:rsidP="002D1A01">
            <w:pPr>
              <w:widowControl w:val="0"/>
              <w:tabs>
                <w:tab w:val="left" w:pos="360"/>
                <w:tab w:val="right" w:pos="4320"/>
              </w:tabs>
              <w:ind w:left="360"/>
              <w:jc w:val="left"/>
              <w:rPr>
                <w:sz w:val="18"/>
                <w:szCs w:val="18"/>
                <w:u w:val="single"/>
              </w:rPr>
            </w:pPr>
          </w:p>
        </w:tc>
      </w:tr>
      <w:tr w:rsidR="002D1676" w14:paraId="77BB61A7" w14:textId="77777777" w:rsidTr="002D1A01">
        <w:tc>
          <w:tcPr>
            <w:tcW w:w="4518" w:type="dxa"/>
          </w:tcPr>
          <w:p w14:paraId="1CE87A0D" w14:textId="77777777" w:rsidR="00F51FE1" w:rsidRPr="00A1156E" w:rsidRDefault="00F51FE1" w:rsidP="002D1A01">
            <w:pPr>
              <w:widowControl w:val="0"/>
              <w:tabs>
                <w:tab w:val="left" w:pos="360"/>
                <w:tab w:val="right" w:pos="4320"/>
              </w:tabs>
              <w:ind w:left="360"/>
              <w:jc w:val="left"/>
              <w:rPr>
                <w:b/>
                <w:sz w:val="18"/>
                <w:szCs w:val="18"/>
              </w:rPr>
            </w:pPr>
          </w:p>
        </w:tc>
        <w:tc>
          <w:tcPr>
            <w:tcW w:w="5040" w:type="dxa"/>
          </w:tcPr>
          <w:p w14:paraId="1D9EFF78" w14:textId="77777777" w:rsidR="00F51FE1" w:rsidRPr="00A1156E" w:rsidRDefault="00F51FE1" w:rsidP="002D1A01">
            <w:pPr>
              <w:widowControl w:val="0"/>
              <w:tabs>
                <w:tab w:val="left" w:pos="360"/>
                <w:tab w:val="right" w:pos="4320"/>
              </w:tabs>
              <w:ind w:left="360"/>
              <w:jc w:val="left"/>
              <w:rPr>
                <w:sz w:val="18"/>
                <w:szCs w:val="18"/>
              </w:rPr>
            </w:pPr>
          </w:p>
        </w:tc>
      </w:tr>
      <w:tr w:rsidR="002D1676" w14:paraId="2FD0CFDF" w14:textId="77777777" w:rsidTr="002D1A01">
        <w:tc>
          <w:tcPr>
            <w:tcW w:w="4518" w:type="dxa"/>
          </w:tcPr>
          <w:p w14:paraId="6A9E334F" w14:textId="77777777" w:rsidR="00F51FE1" w:rsidRPr="00A1156E" w:rsidRDefault="001C40CF" w:rsidP="002D1A01">
            <w:pPr>
              <w:widowControl w:val="0"/>
              <w:tabs>
                <w:tab w:val="right" w:pos="4320"/>
              </w:tabs>
              <w:jc w:val="left"/>
              <w:rPr>
                <w:b/>
                <w:bCs/>
                <w:sz w:val="18"/>
                <w:szCs w:val="18"/>
              </w:rPr>
            </w:pPr>
            <w:r w:rsidRPr="00A1156E">
              <w:rPr>
                <w:b/>
                <w:bCs/>
                <w:sz w:val="18"/>
                <w:szCs w:val="18"/>
              </w:rPr>
              <w:t xml:space="preserve">Wire Transfer:  </w:t>
            </w:r>
          </w:p>
        </w:tc>
        <w:tc>
          <w:tcPr>
            <w:tcW w:w="5040" w:type="dxa"/>
          </w:tcPr>
          <w:p w14:paraId="5223506A" w14:textId="77777777" w:rsidR="00F51FE1" w:rsidRPr="00A1156E" w:rsidRDefault="001C40CF" w:rsidP="002D1A01">
            <w:pPr>
              <w:widowControl w:val="0"/>
              <w:tabs>
                <w:tab w:val="right" w:pos="4320"/>
              </w:tabs>
              <w:jc w:val="left"/>
              <w:rPr>
                <w:b/>
                <w:bCs/>
                <w:sz w:val="18"/>
                <w:szCs w:val="18"/>
              </w:rPr>
            </w:pPr>
            <w:r w:rsidRPr="00A1156E">
              <w:rPr>
                <w:b/>
                <w:bCs/>
                <w:sz w:val="18"/>
                <w:szCs w:val="18"/>
              </w:rPr>
              <w:t>Wire Transfer:</w:t>
            </w:r>
          </w:p>
        </w:tc>
      </w:tr>
      <w:tr w:rsidR="002D1676" w14:paraId="3A4FA8E5" w14:textId="77777777" w:rsidTr="002D1A01">
        <w:tc>
          <w:tcPr>
            <w:tcW w:w="4518" w:type="dxa"/>
          </w:tcPr>
          <w:p w14:paraId="78C35DEC" w14:textId="77777777" w:rsidR="00F51FE1" w:rsidRPr="00A1156E" w:rsidRDefault="001C40CF" w:rsidP="002D1A01">
            <w:pPr>
              <w:widowControl w:val="0"/>
              <w:tabs>
                <w:tab w:val="left" w:pos="630"/>
                <w:tab w:val="right" w:pos="4320"/>
              </w:tabs>
              <w:ind w:left="360"/>
              <w:jc w:val="left"/>
              <w:rPr>
                <w:sz w:val="18"/>
                <w:szCs w:val="18"/>
              </w:rPr>
            </w:pPr>
            <w:r w:rsidRPr="00A1156E">
              <w:rPr>
                <w:sz w:val="18"/>
                <w:szCs w:val="18"/>
              </w:rPr>
              <w:t xml:space="preserve">BNK:  </w:t>
            </w:r>
          </w:p>
          <w:p w14:paraId="79F7249C" w14:textId="77777777" w:rsidR="00F51FE1" w:rsidRPr="00A1156E" w:rsidRDefault="001C40CF" w:rsidP="002D1A01">
            <w:pPr>
              <w:widowControl w:val="0"/>
              <w:tabs>
                <w:tab w:val="left" w:pos="630"/>
                <w:tab w:val="right" w:pos="4320"/>
              </w:tabs>
              <w:ind w:left="360"/>
              <w:jc w:val="left"/>
              <w:rPr>
                <w:sz w:val="18"/>
                <w:szCs w:val="18"/>
              </w:rPr>
            </w:pPr>
            <w:r w:rsidRPr="00A1156E">
              <w:rPr>
                <w:sz w:val="18"/>
                <w:szCs w:val="18"/>
              </w:rPr>
              <w:t>ACCT Title:</w:t>
            </w:r>
          </w:p>
          <w:p w14:paraId="19447ADF" w14:textId="77777777" w:rsidR="00F51FE1" w:rsidRPr="00A1156E" w:rsidRDefault="001C40CF" w:rsidP="002D1A01">
            <w:pPr>
              <w:widowControl w:val="0"/>
              <w:tabs>
                <w:tab w:val="left" w:pos="630"/>
                <w:tab w:val="right" w:pos="4320"/>
              </w:tabs>
              <w:ind w:left="360"/>
              <w:jc w:val="left"/>
              <w:rPr>
                <w:sz w:val="18"/>
                <w:szCs w:val="18"/>
              </w:rPr>
            </w:pPr>
            <w:r w:rsidRPr="00A1156E">
              <w:rPr>
                <w:sz w:val="18"/>
                <w:szCs w:val="18"/>
              </w:rPr>
              <w:t xml:space="preserve">ABA:   </w:t>
            </w:r>
          </w:p>
          <w:p w14:paraId="732A7CC6" w14:textId="77777777" w:rsidR="00F51FE1" w:rsidRPr="00A1156E" w:rsidRDefault="001C40CF" w:rsidP="002D1A01">
            <w:pPr>
              <w:widowControl w:val="0"/>
              <w:tabs>
                <w:tab w:val="left" w:pos="630"/>
                <w:tab w:val="right" w:pos="4320"/>
              </w:tabs>
              <w:ind w:left="360"/>
              <w:jc w:val="left"/>
              <w:rPr>
                <w:sz w:val="18"/>
                <w:szCs w:val="18"/>
              </w:rPr>
            </w:pPr>
            <w:r w:rsidRPr="00A1156E">
              <w:rPr>
                <w:sz w:val="18"/>
                <w:szCs w:val="18"/>
              </w:rPr>
              <w:t xml:space="preserve">ACCT:  </w:t>
            </w:r>
          </w:p>
          <w:p w14:paraId="4001A7DF" w14:textId="77777777" w:rsidR="00F51FE1" w:rsidRPr="00A1156E" w:rsidRDefault="001C40CF" w:rsidP="002D1A01">
            <w:pPr>
              <w:widowControl w:val="0"/>
              <w:tabs>
                <w:tab w:val="left" w:pos="630"/>
                <w:tab w:val="right" w:pos="4320"/>
              </w:tabs>
              <w:ind w:left="360"/>
              <w:jc w:val="left"/>
              <w:rPr>
                <w:sz w:val="18"/>
                <w:szCs w:val="18"/>
              </w:rPr>
            </w:pPr>
            <w:r w:rsidRPr="00A1156E">
              <w:rPr>
                <w:sz w:val="18"/>
                <w:szCs w:val="18"/>
              </w:rPr>
              <w:t xml:space="preserve">DUNS:  </w:t>
            </w:r>
          </w:p>
          <w:p w14:paraId="1A91FE3D" w14:textId="77777777" w:rsidR="00F51FE1" w:rsidRPr="00A1156E" w:rsidRDefault="001C40CF" w:rsidP="002D1A01">
            <w:pPr>
              <w:widowControl w:val="0"/>
              <w:tabs>
                <w:tab w:val="left" w:pos="630"/>
                <w:tab w:val="right" w:pos="4320"/>
              </w:tabs>
              <w:ind w:left="360"/>
              <w:jc w:val="left"/>
              <w:rPr>
                <w:sz w:val="18"/>
                <w:szCs w:val="18"/>
                <w:u w:val="single"/>
              </w:rPr>
            </w:pPr>
            <w:r w:rsidRPr="00A1156E">
              <w:rPr>
                <w:sz w:val="18"/>
                <w:szCs w:val="18"/>
              </w:rPr>
              <w:t xml:space="preserve">Federal Tax ID Number:  </w:t>
            </w:r>
          </w:p>
        </w:tc>
        <w:tc>
          <w:tcPr>
            <w:tcW w:w="5040" w:type="dxa"/>
          </w:tcPr>
          <w:p w14:paraId="6DD33709"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BNK:  The Bank of NY Mellon</w:t>
            </w:r>
          </w:p>
          <w:p w14:paraId="5AF33C0B"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ACC Title:  PG&amp;E</w:t>
            </w:r>
          </w:p>
          <w:p w14:paraId="405361DD"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ABA:  011001234</w:t>
            </w:r>
          </w:p>
          <w:p w14:paraId="59DE3C64"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ACCT:  059994</w:t>
            </w:r>
          </w:p>
          <w:p w14:paraId="3DBFB1C1"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DUNS:  556650034</w:t>
            </w:r>
          </w:p>
          <w:p w14:paraId="7E130264"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Federal Tax ID Number:  94-0742640</w:t>
            </w:r>
          </w:p>
        </w:tc>
      </w:tr>
      <w:tr w:rsidR="002D1676" w14:paraId="2873713F" w14:textId="77777777" w:rsidTr="002D1A01">
        <w:trPr>
          <w:trHeight w:val="225"/>
        </w:trPr>
        <w:tc>
          <w:tcPr>
            <w:tcW w:w="4518" w:type="dxa"/>
          </w:tcPr>
          <w:p w14:paraId="1D0F28B1" w14:textId="77777777" w:rsidR="00F51FE1" w:rsidRPr="00A1156E" w:rsidRDefault="00F51FE1" w:rsidP="002D1A01">
            <w:pPr>
              <w:widowControl w:val="0"/>
              <w:tabs>
                <w:tab w:val="left" w:pos="360"/>
                <w:tab w:val="right" w:pos="4320"/>
              </w:tabs>
              <w:ind w:left="360"/>
              <w:jc w:val="left"/>
              <w:rPr>
                <w:b/>
                <w:sz w:val="18"/>
                <w:szCs w:val="18"/>
              </w:rPr>
            </w:pPr>
          </w:p>
        </w:tc>
        <w:tc>
          <w:tcPr>
            <w:tcW w:w="5040" w:type="dxa"/>
          </w:tcPr>
          <w:p w14:paraId="6998DD6C" w14:textId="77777777" w:rsidR="00F51FE1" w:rsidRPr="00A1156E" w:rsidRDefault="00F51FE1" w:rsidP="002D1A01">
            <w:pPr>
              <w:widowControl w:val="0"/>
              <w:tabs>
                <w:tab w:val="left" w:pos="360"/>
                <w:tab w:val="right" w:pos="4320"/>
              </w:tabs>
              <w:ind w:left="360"/>
              <w:jc w:val="left"/>
              <w:rPr>
                <w:sz w:val="18"/>
                <w:szCs w:val="18"/>
              </w:rPr>
            </w:pPr>
          </w:p>
        </w:tc>
      </w:tr>
      <w:tr w:rsidR="002D1676" w14:paraId="1E380266" w14:textId="77777777" w:rsidTr="002D1A01">
        <w:tc>
          <w:tcPr>
            <w:tcW w:w="4518" w:type="dxa"/>
          </w:tcPr>
          <w:p w14:paraId="6FCC3EC6" w14:textId="77777777" w:rsidR="00F51FE1" w:rsidRPr="00A1156E" w:rsidRDefault="001C40CF" w:rsidP="002D1A01">
            <w:pPr>
              <w:widowControl w:val="0"/>
              <w:tabs>
                <w:tab w:val="right" w:pos="4320"/>
              </w:tabs>
              <w:jc w:val="left"/>
              <w:rPr>
                <w:b/>
                <w:bCs/>
                <w:sz w:val="18"/>
                <w:szCs w:val="18"/>
              </w:rPr>
            </w:pPr>
            <w:r w:rsidRPr="00A1156E">
              <w:rPr>
                <w:b/>
                <w:bCs/>
                <w:sz w:val="18"/>
                <w:szCs w:val="18"/>
              </w:rPr>
              <w:t xml:space="preserve">Credit and Collections:  </w:t>
            </w:r>
          </w:p>
        </w:tc>
        <w:tc>
          <w:tcPr>
            <w:tcW w:w="5040" w:type="dxa"/>
          </w:tcPr>
          <w:p w14:paraId="09911750" w14:textId="77777777" w:rsidR="00F51FE1" w:rsidRPr="00A1156E" w:rsidRDefault="001C40CF" w:rsidP="002D1A01">
            <w:pPr>
              <w:widowControl w:val="0"/>
              <w:tabs>
                <w:tab w:val="right" w:pos="4320"/>
              </w:tabs>
              <w:jc w:val="left"/>
              <w:rPr>
                <w:b/>
                <w:bCs/>
                <w:sz w:val="18"/>
                <w:szCs w:val="18"/>
              </w:rPr>
            </w:pPr>
            <w:r w:rsidRPr="00A1156E">
              <w:rPr>
                <w:b/>
                <w:bCs/>
                <w:sz w:val="18"/>
                <w:szCs w:val="18"/>
              </w:rPr>
              <w:t>Credit and Collections:</w:t>
            </w:r>
          </w:p>
        </w:tc>
      </w:tr>
      <w:tr w:rsidR="002D1676" w14:paraId="56539D58" w14:textId="77777777" w:rsidTr="002D1A01">
        <w:tc>
          <w:tcPr>
            <w:tcW w:w="4518" w:type="dxa"/>
          </w:tcPr>
          <w:p w14:paraId="65C0CE95"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 xml:space="preserve">Attn:  </w:t>
            </w:r>
          </w:p>
          <w:p w14:paraId="30C20791"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(email)</w:t>
            </w:r>
          </w:p>
        </w:tc>
        <w:tc>
          <w:tcPr>
            <w:tcW w:w="5040" w:type="dxa"/>
          </w:tcPr>
          <w:p w14:paraId="1EA90C8F"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Attn:  Credit Risk Management (PGERiskCredit@pge.com)</w:t>
            </w:r>
          </w:p>
        </w:tc>
      </w:tr>
      <w:tr w:rsidR="002D1676" w14:paraId="39A04D1C" w14:textId="77777777" w:rsidTr="002D1A01">
        <w:tc>
          <w:tcPr>
            <w:tcW w:w="4518" w:type="dxa"/>
          </w:tcPr>
          <w:p w14:paraId="60C8192D"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 xml:space="preserve">Phone:  </w:t>
            </w:r>
          </w:p>
        </w:tc>
        <w:tc>
          <w:tcPr>
            <w:tcW w:w="5040" w:type="dxa"/>
          </w:tcPr>
          <w:p w14:paraId="777AB5E0" w14:textId="7B6216C6" w:rsidR="00F51FE1" w:rsidRPr="00A1156E" w:rsidRDefault="00F51FE1" w:rsidP="002D1A01">
            <w:pPr>
              <w:widowControl w:val="0"/>
              <w:tabs>
                <w:tab w:val="left" w:pos="360"/>
                <w:tab w:val="right" w:pos="4320"/>
              </w:tabs>
              <w:ind w:left="360"/>
              <w:jc w:val="left"/>
              <w:rPr>
                <w:sz w:val="18"/>
                <w:szCs w:val="18"/>
                <w:u w:val="single"/>
              </w:rPr>
            </w:pPr>
          </w:p>
        </w:tc>
      </w:tr>
      <w:tr w:rsidR="002D1676" w14:paraId="6190D3E7" w14:textId="77777777" w:rsidTr="002D1A01">
        <w:trPr>
          <w:trHeight w:val="153"/>
        </w:trPr>
        <w:tc>
          <w:tcPr>
            <w:tcW w:w="4518" w:type="dxa"/>
          </w:tcPr>
          <w:p w14:paraId="4CAC7BFF" w14:textId="77777777" w:rsidR="00F51FE1" w:rsidRPr="00A1156E" w:rsidRDefault="00F51FE1" w:rsidP="002D1A01">
            <w:pPr>
              <w:widowControl w:val="0"/>
              <w:tabs>
                <w:tab w:val="right" w:pos="4320"/>
              </w:tabs>
              <w:jc w:val="left"/>
              <w:rPr>
                <w:b/>
                <w:sz w:val="18"/>
                <w:szCs w:val="18"/>
              </w:rPr>
            </w:pPr>
          </w:p>
          <w:p w14:paraId="101DC03A" w14:textId="77777777" w:rsidR="00F51FE1" w:rsidRPr="00A1156E" w:rsidRDefault="001C40CF" w:rsidP="002D1A01">
            <w:pPr>
              <w:widowControl w:val="0"/>
              <w:tabs>
                <w:tab w:val="right" w:pos="4320"/>
              </w:tabs>
              <w:jc w:val="left"/>
              <w:rPr>
                <w:b/>
                <w:sz w:val="18"/>
                <w:szCs w:val="18"/>
              </w:rPr>
            </w:pPr>
            <w:r w:rsidRPr="00A1156E">
              <w:rPr>
                <w:b/>
                <w:sz w:val="18"/>
                <w:szCs w:val="18"/>
              </w:rPr>
              <w:t>Contract Management</w:t>
            </w:r>
          </w:p>
          <w:p w14:paraId="60643BB2" w14:textId="77777777" w:rsidR="00F51FE1" w:rsidRPr="00A1156E" w:rsidRDefault="001C40CF" w:rsidP="002D1A01">
            <w:pPr>
              <w:widowControl w:val="0"/>
              <w:tabs>
                <w:tab w:val="right" w:pos="4320"/>
              </w:tabs>
              <w:ind w:left="360"/>
              <w:jc w:val="left"/>
              <w:rPr>
                <w:sz w:val="18"/>
                <w:szCs w:val="18"/>
              </w:rPr>
            </w:pPr>
            <w:r w:rsidRPr="00A1156E">
              <w:rPr>
                <w:sz w:val="18"/>
                <w:szCs w:val="18"/>
              </w:rPr>
              <w:t xml:space="preserve">Attn: </w:t>
            </w:r>
          </w:p>
          <w:p w14:paraId="00531893" w14:textId="77777777" w:rsidR="00F51FE1" w:rsidRPr="00A1156E" w:rsidRDefault="001C40CF" w:rsidP="002D1A01">
            <w:pPr>
              <w:widowControl w:val="0"/>
              <w:tabs>
                <w:tab w:val="right" w:pos="4320"/>
              </w:tabs>
              <w:ind w:left="360"/>
              <w:jc w:val="left"/>
              <w:rPr>
                <w:sz w:val="18"/>
                <w:szCs w:val="18"/>
              </w:rPr>
            </w:pPr>
            <w:r w:rsidRPr="00A1156E">
              <w:rPr>
                <w:sz w:val="18"/>
                <w:szCs w:val="18"/>
              </w:rPr>
              <w:t>(email)</w:t>
            </w:r>
          </w:p>
          <w:p w14:paraId="0EE26B04" w14:textId="77777777" w:rsidR="00F51FE1" w:rsidRPr="00A1156E" w:rsidRDefault="001C40CF" w:rsidP="002D1A01">
            <w:pPr>
              <w:widowControl w:val="0"/>
              <w:tabs>
                <w:tab w:val="right" w:pos="4320"/>
              </w:tabs>
              <w:ind w:left="360"/>
              <w:jc w:val="left"/>
              <w:rPr>
                <w:sz w:val="18"/>
                <w:szCs w:val="18"/>
              </w:rPr>
            </w:pPr>
            <w:r w:rsidRPr="00A1156E">
              <w:rPr>
                <w:sz w:val="18"/>
                <w:szCs w:val="18"/>
              </w:rPr>
              <w:t>Phone:</w:t>
            </w:r>
          </w:p>
          <w:p w14:paraId="1F3020FE" w14:textId="77777777" w:rsidR="00F51FE1" w:rsidRPr="00A1156E" w:rsidRDefault="00F51FE1" w:rsidP="002D1A01">
            <w:pPr>
              <w:widowControl w:val="0"/>
              <w:tabs>
                <w:tab w:val="right" w:pos="4320"/>
              </w:tabs>
              <w:jc w:val="left"/>
              <w:rPr>
                <w:sz w:val="18"/>
                <w:szCs w:val="18"/>
              </w:rPr>
            </w:pPr>
          </w:p>
        </w:tc>
        <w:tc>
          <w:tcPr>
            <w:tcW w:w="5040" w:type="dxa"/>
          </w:tcPr>
          <w:p w14:paraId="146E7C63" w14:textId="77777777" w:rsidR="00F51FE1" w:rsidRPr="00A1156E" w:rsidRDefault="00F51FE1" w:rsidP="002D1A01">
            <w:pPr>
              <w:widowControl w:val="0"/>
              <w:tabs>
                <w:tab w:val="right" w:pos="4320"/>
              </w:tabs>
              <w:jc w:val="left"/>
              <w:rPr>
                <w:sz w:val="18"/>
                <w:szCs w:val="18"/>
              </w:rPr>
            </w:pPr>
          </w:p>
          <w:p w14:paraId="6DA68BEC" w14:textId="77777777" w:rsidR="00F51FE1" w:rsidRPr="00A1156E" w:rsidRDefault="001C40CF" w:rsidP="002D1A01">
            <w:pPr>
              <w:widowControl w:val="0"/>
              <w:tabs>
                <w:tab w:val="right" w:pos="4320"/>
              </w:tabs>
              <w:jc w:val="left"/>
              <w:rPr>
                <w:b/>
                <w:sz w:val="18"/>
                <w:szCs w:val="18"/>
              </w:rPr>
            </w:pPr>
            <w:r w:rsidRPr="00A1156E">
              <w:rPr>
                <w:b/>
                <w:sz w:val="18"/>
                <w:szCs w:val="18"/>
              </w:rPr>
              <w:t>Contract Management</w:t>
            </w:r>
          </w:p>
          <w:p w14:paraId="328FC14E" w14:textId="511F0739" w:rsidR="00A02B22" w:rsidRPr="00A1156E" w:rsidRDefault="00A02B22" w:rsidP="00A02B22">
            <w:pPr>
              <w:widowControl w:val="0"/>
              <w:ind w:left="327"/>
              <w:jc w:val="left"/>
              <w:rPr>
                <w:sz w:val="18"/>
                <w:szCs w:val="18"/>
              </w:rPr>
            </w:pPr>
            <w:r w:rsidRPr="00A1156E">
              <w:rPr>
                <w:sz w:val="18"/>
                <w:szCs w:val="18"/>
              </w:rPr>
              <w:t>Contract Management:</w:t>
            </w:r>
          </w:p>
          <w:p w14:paraId="4FF7A6A6" w14:textId="0950F909" w:rsidR="00A02B22" w:rsidRPr="00A1156E" w:rsidRDefault="00A02B22" w:rsidP="00A02B22">
            <w:pPr>
              <w:widowControl w:val="0"/>
              <w:ind w:left="327"/>
              <w:jc w:val="left"/>
              <w:rPr>
                <w:sz w:val="18"/>
                <w:szCs w:val="18"/>
              </w:rPr>
            </w:pPr>
            <w:r w:rsidRPr="00A1156E">
              <w:rPr>
                <w:sz w:val="18"/>
                <w:szCs w:val="18"/>
              </w:rPr>
              <w:t xml:space="preserve">Attn:  </w:t>
            </w:r>
            <w:r w:rsidR="00AF27DE" w:rsidRPr="00A1156E">
              <w:rPr>
                <w:sz w:val="18"/>
                <w:szCs w:val="18"/>
                <w:lang w:val="nb-NO"/>
              </w:rPr>
              <w:t>Ryan Susanto (Ryan.Susanto@pge.com)</w:t>
            </w:r>
          </w:p>
          <w:p w14:paraId="3BF3A743" w14:textId="465FEE10" w:rsidR="00AF27DE" w:rsidRDefault="00AF27DE" w:rsidP="00A02B22">
            <w:pPr>
              <w:widowControl w:val="0"/>
              <w:ind w:left="327"/>
              <w:jc w:val="left"/>
              <w:rPr>
                <w:sz w:val="18"/>
                <w:szCs w:val="18"/>
              </w:rPr>
            </w:pPr>
            <w:r w:rsidRPr="00A1156E">
              <w:rPr>
                <w:sz w:val="18"/>
                <w:szCs w:val="18"/>
                <w:lang w:val="nl-BE"/>
              </w:rPr>
              <w:t>Interim Senior Manager, Contract Management</w:t>
            </w:r>
            <w:r w:rsidRPr="00A1156E" w:rsidDel="00AF27DE">
              <w:rPr>
                <w:sz w:val="18"/>
                <w:szCs w:val="18"/>
              </w:rPr>
              <w:t xml:space="preserve"> </w:t>
            </w:r>
          </w:p>
          <w:p w14:paraId="12B269C8" w14:textId="57D287B2" w:rsidR="00F51FE1" w:rsidRPr="00A1156E" w:rsidRDefault="00A02B22" w:rsidP="00A02B22">
            <w:pPr>
              <w:widowControl w:val="0"/>
              <w:ind w:left="327"/>
              <w:jc w:val="left"/>
              <w:rPr>
                <w:sz w:val="18"/>
                <w:szCs w:val="18"/>
              </w:rPr>
            </w:pPr>
            <w:r w:rsidRPr="00A1156E">
              <w:rPr>
                <w:sz w:val="18"/>
                <w:szCs w:val="18"/>
              </w:rPr>
              <w:t xml:space="preserve">Phone: </w:t>
            </w:r>
            <w:r w:rsidR="00AF27DE" w:rsidRPr="00A1156E">
              <w:rPr>
                <w:sz w:val="18"/>
                <w:szCs w:val="18"/>
              </w:rPr>
              <w:t>(650) 255-2343</w:t>
            </w:r>
          </w:p>
        </w:tc>
      </w:tr>
      <w:tr w:rsidR="00A02B22" w14:paraId="6FB5EEE7" w14:textId="77777777" w:rsidTr="002D1A01">
        <w:trPr>
          <w:trHeight w:val="153"/>
        </w:trPr>
        <w:tc>
          <w:tcPr>
            <w:tcW w:w="4518" w:type="dxa"/>
          </w:tcPr>
          <w:p w14:paraId="64B707E6" w14:textId="77777777" w:rsidR="00A02B22" w:rsidRPr="00A1156E" w:rsidRDefault="00A02B22" w:rsidP="002D1A01">
            <w:pPr>
              <w:widowControl w:val="0"/>
              <w:tabs>
                <w:tab w:val="right" w:pos="4320"/>
              </w:tabs>
              <w:jc w:val="left"/>
              <w:rPr>
                <w:b/>
                <w:sz w:val="18"/>
                <w:szCs w:val="18"/>
              </w:rPr>
            </w:pPr>
          </w:p>
        </w:tc>
        <w:tc>
          <w:tcPr>
            <w:tcW w:w="5040" w:type="dxa"/>
          </w:tcPr>
          <w:p w14:paraId="5CB6E682" w14:textId="77777777" w:rsidR="00A02B22" w:rsidRPr="00A1156E" w:rsidRDefault="00A02B22" w:rsidP="002D1A01">
            <w:pPr>
              <w:widowControl w:val="0"/>
              <w:tabs>
                <w:tab w:val="right" w:pos="4320"/>
              </w:tabs>
              <w:jc w:val="left"/>
              <w:rPr>
                <w:sz w:val="18"/>
                <w:szCs w:val="18"/>
              </w:rPr>
            </w:pPr>
          </w:p>
        </w:tc>
      </w:tr>
      <w:tr w:rsidR="002D1676" w14:paraId="527178C4" w14:textId="77777777" w:rsidTr="002D1A01">
        <w:tc>
          <w:tcPr>
            <w:tcW w:w="4518" w:type="dxa"/>
          </w:tcPr>
          <w:p w14:paraId="0C1E323E" w14:textId="77777777" w:rsidR="00F51FE1" w:rsidRPr="00A1156E" w:rsidRDefault="001C40CF" w:rsidP="002D1A01">
            <w:pPr>
              <w:widowControl w:val="0"/>
              <w:tabs>
                <w:tab w:val="right" w:pos="4320"/>
              </w:tabs>
              <w:jc w:val="left"/>
              <w:rPr>
                <w:b/>
                <w:sz w:val="18"/>
                <w:szCs w:val="18"/>
              </w:rPr>
            </w:pPr>
            <w:r w:rsidRPr="00A1156E">
              <w:rPr>
                <w:b/>
                <w:sz w:val="18"/>
                <w:szCs w:val="18"/>
              </w:rPr>
              <w:t>With additional Notices of an Event of Default to Contract Manager:</w:t>
            </w:r>
          </w:p>
        </w:tc>
        <w:tc>
          <w:tcPr>
            <w:tcW w:w="5040" w:type="dxa"/>
          </w:tcPr>
          <w:p w14:paraId="7D7A2885" w14:textId="77777777" w:rsidR="00F51FE1" w:rsidRPr="00A1156E" w:rsidRDefault="001C40CF" w:rsidP="002D1A01">
            <w:pPr>
              <w:widowControl w:val="0"/>
              <w:tabs>
                <w:tab w:val="right" w:pos="4320"/>
              </w:tabs>
              <w:jc w:val="left"/>
              <w:rPr>
                <w:b/>
                <w:sz w:val="18"/>
                <w:szCs w:val="18"/>
              </w:rPr>
            </w:pPr>
            <w:r w:rsidRPr="00A1156E">
              <w:rPr>
                <w:b/>
                <w:sz w:val="18"/>
                <w:szCs w:val="18"/>
              </w:rPr>
              <w:t>With additional Notices of an Event of Default to Contract Manager:</w:t>
            </w:r>
          </w:p>
        </w:tc>
      </w:tr>
      <w:tr w:rsidR="002D1676" w14:paraId="597308B2" w14:textId="77777777" w:rsidTr="002D1A01">
        <w:tc>
          <w:tcPr>
            <w:tcW w:w="4518" w:type="dxa"/>
          </w:tcPr>
          <w:p w14:paraId="6632DA2E" w14:textId="77777777" w:rsidR="00F51FE1" w:rsidRPr="00A1156E" w:rsidRDefault="001C40CF" w:rsidP="002D1A01">
            <w:pPr>
              <w:widowControl w:val="0"/>
              <w:tabs>
                <w:tab w:val="left" w:pos="360"/>
                <w:tab w:val="right" w:pos="4320"/>
              </w:tabs>
              <w:ind w:left="360"/>
              <w:jc w:val="left"/>
              <w:rPr>
                <w:sz w:val="18"/>
                <w:szCs w:val="18"/>
              </w:rPr>
            </w:pPr>
            <w:r w:rsidRPr="00A1156E">
              <w:rPr>
                <w:sz w:val="18"/>
                <w:szCs w:val="18"/>
              </w:rPr>
              <w:t>Attn:</w:t>
            </w:r>
          </w:p>
          <w:p w14:paraId="47E914E4"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 xml:space="preserve">(email) </w:t>
            </w:r>
          </w:p>
        </w:tc>
        <w:tc>
          <w:tcPr>
            <w:tcW w:w="5040" w:type="dxa"/>
          </w:tcPr>
          <w:p w14:paraId="53D3442C" w14:textId="7DD14AD8" w:rsidR="00F51FE1" w:rsidRPr="00A1156E" w:rsidRDefault="001C40CF" w:rsidP="002D1A01">
            <w:pPr>
              <w:widowControl w:val="0"/>
              <w:tabs>
                <w:tab w:val="left" w:pos="360"/>
                <w:tab w:val="right" w:pos="4320"/>
              </w:tabs>
              <w:ind w:left="360"/>
              <w:jc w:val="left"/>
              <w:rPr>
                <w:sz w:val="18"/>
                <w:szCs w:val="18"/>
                <w:lang w:val="nb-NO"/>
              </w:rPr>
            </w:pPr>
            <w:r w:rsidRPr="00A1156E">
              <w:rPr>
                <w:sz w:val="18"/>
                <w:szCs w:val="18"/>
                <w:lang w:val="nb-NO"/>
              </w:rPr>
              <w:t xml:space="preserve">Attn:  </w:t>
            </w:r>
            <w:r w:rsidR="007340AF" w:rsidRPr="00A1156E">
              <w:rPr>
                <w:sz w:val="18"/>
                <w:szCs w:val="18"/>
                <w:lang w:val="nb-NO"/>
              </w:rPr>
              <w:t>Ryan Susanto (Ryan.Susanto@pge.com)</w:t>
            </w:r>
          </w:p>
          <w:p w14:paraId="6AEB218D" w14:textId="767BE2FD" w:rsidR="00F51FE1" w:rsidRPr="00A1156E" w:rsidRDefault="007340AF" w:rsidP="002D1A01">
            <w:pPr>
              <w:widowControl w:val="0"/>
              <w:tabs>
                <w:tab w:val="left" w:pos="360"/>
                <w:tab w:val="right" w:pos="4320"/>
              </w:tabs>
              <w:ind w:left="360"/>
              <w:jc w:val="left"/>
              <w:rPr>
                <w:sz w:val="18"/>
                <w:szCs w:val="18"/>
                <w:u w:val="single"/>
                <w:lang w:val="nl-BE"/>
              </w:rPr>
            </w:pPr>
            <w:r w:rsidRPr="00A1156E">
              <w:rPr>
                <w:sz w:val="18"/>
                <w:szCs w:val="18"/>
                <w:lang w:val="nl-BE"/>
              </w:rPr>
              <w:t xml:space="preserve">Interim </w:t>
            </w:r>
            <w:r w:rsidR="001C40CF" w:rsidRPr="00A1156E">
              <w:rPr>
                <w:sz w:val="18"/>
                <w:szCs w:val="18"/>
                <w:lang w:val="nl-BE"/>
              </w:rPr>
              <w:t>Senior Manager, Contract Management</w:t>
            </w:r>
          </w:p>
        </w:tc>
      </w:tr>
      <w:tr w:rsidR="002D1676" w14:paraId="66DC8AD1" w14:textId="77777777" w:rsidTr="002D1A01">
        <w:trPr>
          <w:trHeight w:val="270"/>
        </w:trPr>
        <w:tc>
          <w:tcPr>
            <w:tcW w:w="4518" w:type="dxa"/>
          </w:tcPr>
          <w:p w14:paraId="2D2172DA" w14:textId="77777777"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 xml:space="preserve">Phone: </w:t>
            </w:r>
          </w:p>
        </w:tc>
        <w:tc>
          <w:tcPr>
            <w:tcW w:w="5040" w:type="dxa"/>
          </w:tcPr>
          <w:p w14:paraId="773FD508" w14:textId="3A7C4D5E" w:rsidR="00F51FE1" w:rsidRPr="00A1156E" w:rsidRDefault="001C40CF" w:rsidP="002D1A01">
            <w:pPr>
              <w:widowControl w:val="0"/>
              <w:tabs>
                <w:tab w:val="left" w:pos="360"/>
                <w:tab w:val="right" w:pos="4320"/>
              </w:tabs>
              <w:ind w:left="360"/>
              <w:jc w:val="left"/>
              <w:rPr>
                <w:sz w:val="18"/>
                <w:szCs w:val="18"/>
                <w:u w:val="single"/>
              </w:rPr>
            </w:pPr>
            <w:r w:rsidRPr="00A1156E">
              <w:rPr>
                <w:sz w:val="18"/>
                <w:szCs w:val="18"/>
              </w:rPr>
              <w:t xml:space="preserve">Phone: </w:t>
            </w:r>
            <w:r w:rsidR="007340AF" w:rsidRPr="00A1156E">
              <w:rPr>
                <w:sz w:val="18"/>
                <w:szCs w:val="18"/>
              </w:rPr>
              <w:t>(650) 255-2343</w:t>
            </w:r>
          </w:p>
        </w:tc>
      </w:tr>
      <w:tr w:rsidR="000B5862" w14:paraId="57AB672B" w14:textId="77777777" w:rsidTr="002D1A01">
        <w:trPr>
          <w:trHeight w:val="270"/>
        </w:trPr>
        <w:tc>
          <w:tcPr>
            <w:tcW w:w="4518" w:type="dxa"/>
          </w:tcPr>
          <w:p w14:paraId="609F8E3E" w14:textId="77777777" w:rsidR="000B5862" w:rsidRPr="00A1156E" w:rsidRDefault="000B5862" w:rsidP="000B5862">
            <w:pPr>
              <w:widowControl w:val="0"/>
              <w:tabs>
                <w:tab w:val="left" w:pos="360"/>
                <w:tab w:val="right" w:pos="4320"/>
              </w:tabs>
              <w:jc w:val="left"/>
              <w:rPr>
                <w:sz w:val="18"/>
                <w:szCs w:val="18"/>
              </w:rPr>
            </w:pPr>
          </w:p>
        </w:tc>
        <w:tc>
          <w:tcPr>
            <w:tcW w:w="5040" w:type="dxa"/>
          </w:tcPr>
          <w:p w14:paraId="6420C17B" w14:textId="77777777" w:rsidR="000B5862" w:rsidRPr="00A1156E" w:rsidRDefault="000B5862" w:rsidP="002D1A01">
            <w:pPr>
              <w:widowControl w:val="0"/>
              <w:tabs>
                <w:tab w:val="left" w:pos="360"/>
                <w:tab w:val="right" w:pos="4320"/>
              </w:tabs>
              <w:ind w:left="360"/>
              <w:jc w:val="left"/>
              <w:rPr>
                <w:sz w:val="18"/>
                <w:szCs w:val="18"/>
              </w:rPr>
            </w:pPr>
          </w:p>
        </w:tc>
      </w:tr>
      <w:tr w:rsidR="002D1676" w14:paraId="507611E5" w14:textId="77777777" w:rsidTr="006D031E">
        <w:trPr>
          <w:trHeight w:val="495"/>
        </w:trPr>
        <w:tc>
          <w:tcPr>
            <w:tcW w:w="4518" w:type="dxa"/>
          </w:tcPr>
          <w:p w14:paraId="35C657F5" w14:textId="77777777" w:rsidR="00B320C6" w:rsidRPr="00A1156E" w:rsidRDefault="001C40CF" w:rsidP="00B320C6">
            <w:pPr>
              <w:widowControl w:val="0"/>
              <w:tabs>
                <w:tab w:val="right" w:pos="4320"/>
              </w:tabs>
              <w:jc w:val="left"/>
              <w:rPr>
                <w:b/>
                <w:sz w:val="18"/>
                <w:szCs w:val="18"/>
              </w:rPr>
            </w:pPr>
            <w:r w:rsidRPr="00A1156E">
              <w:rPr>
                <w:b/>
                <w:sz w:val="18"/>
                <w:szCs w:val="18"/>
              </w:rPr>
              <w:t xml:space="preserve">Supply Plan </w:t>
            </w:r>
            <w:r w:rsidR="00E965DC" w:rsidRPr="00A1156E">
              <w:rPr>
                <w:b/>
                <w:sz w:val="18"/>
                <w:szCs w:val="18"/>
              </w:rPr>
              <w:t>Contact</w:t>
            </w:r>
            <w:r w:rsidRPr="00A1156E">
              <w:rPr>
                <w:b/>
                <w:sz w:val="18"/>
                <w:szCs w:val="18"/>
              </w:rPr>
              <w:t>:</w:t>
            </w:r>
          </w:p>
          <w:p w14:paraId="1529184A" w14:textId="77777777" w:rsidR="00B320C6" w:rsidRPr="00A1156E" w:rsidRDefault="00B320C6" w:rsidP="00B320C6">
            <w:pPr>
              <w:widowControl w:val="0"/>
              <w:tabs>
                <w:tab w:val="left" w:pos="360"/>
                <w:tab w:val="right" w:pos="4320"/>
              </w:tabs>
              <w:jc w:val="left"/>
              <w:rPr>
                <w:sz w:val="18"/>
                <w:szCs w:val="18"/>
                <w:u w:val="single"/>
              </w:rPr>
            </w:pPr>
          </w:p>
        </w:tc>
        <w:tc>
          <w:tcPr>
            <w:tcW w:w="5040" w:type="dxa"/>
          </w:tcPr>
          <w:p w14:paraId="649590E5" w14:textId="3EADA2A4" w:rsidR="00F51FE1" w:rsidRPr="00A1156E" w:rsidRDefault="001C40CF" w:rsidP="002D1A01">
            <w:pPr>
              <w:widowControl w:val="0"/>
              <w:tabs>
                <w:tab w:val="right" w:pos="4320"/>
              </w:tabs>
              <w:jc w:val="left"/>
              <w:rPr>
                <w:b/>
                <w:sz w:val="18"/>
                <w:szCs w:val="18"/>
              </w:rPr>
            </w:pPr>
            <w:r w:rsidRPr="00A1156E">
              <w:rPr>
                <w:b/>
                <w:sz w:val="18"/>
                <w:szCs w:val="18"/>
              </w:rPr>
              <w:t>Supply Plan</w:t>
            </w:r>
            <w:r w:rsidR="00C70F24" w:rsidRPr="00A1156E">
              <w:rPr>
                <w:b/>
                <w:sz w:val="18"/>
                <w:szCs w:val="18"/>
              </w:rPr>
              <w:t xml:space="preserve"> Contact</w:t>
            </w:r>
            <w:r w:rsidRPr="00A1156E">
              <w:rPr>
                <w:b/>
                <w:sz w:val="18"/>
                <w:szCs w:val="18"/>
              </w:rPr>
              <w:t>:</w:t>
            </w:r>
          </w:p>
          <w:p w14:paraId="58E47C01" w14:textId="264546E5" w:rsidR="00F51FE1" w:rsidRPr="00A1156E" w:rsidRDefault="006D031E" w:rsidP="002D1A01">
            <w:pPr>
              <w:widowControl w:val="0"/>
              <w:tabs>
                <w:tab w:val="left" w:pos="360"/>
                <w:tab w:val="right" w:pos="4320"/>
              </w:tabs>
              <w:ind w:left="360"/>
              <w:jc w:val="left"/>
              <w:rPr>
                <w:sz w:val="18"/>
                <w:szCs w:val="18"/>
                <w:u w:val="single"/>
              </w:rPr>
            </w:pPr>
            <w:r w:rsidRPr="00A1156E">
              <w:rPr>
                <w:sz w:val="18"/>
                <w:szCs w:val="18"/>
              </w:rPr>
              <w:t xml:space="preserve"> CPERAFilings@pge.com</w:t>
            </w:r>
          </w:p>
        </w:tc>
      </w:tr>
    </w:tbl>
    <w:p w14:paraId="6A3BEBAE" w14:textId="77777777" w:rsidR="007A4715" w:rsidRDefault="007A4715">
      <w:pPr>
        <w:jc w:val="left"/>
        <w:rPr>
          <w:b/>
          <w:kern w:val="28"/>
        </w:rPr>
      </w:pPr>
      <w:r>
        <w:br w:type="page"/>
      </w:r>
    </w:p>
    <w:p w14:paraId="47DD2132" w14:textId="71BFE833" w:rsidR="00F51FE1" w:rsidRPr="001D0A94" w:rsidRDefault="001C40CF" w:rsidP="001D0A94">
      <w:pPr>
        <w:pStyle w:val="Title"/>
      </w:pPr>
      <w:r w:rsidRPr="001D0A94">
        <w:lastRenderedPageBreak/>
        <w:t>A</w:t>
      </w:r>
      <w:r w:rsidR="00F07220" w:rsidRPr="001D0A94">
        <w:t>PPENDIX E</w:t>
      </w:r>
      <w:r w:rsidR="008C1EE1" w:rsidRPr="001D0A94">
        <w:br/>
      </w:r>
      <w:r w:rsidR="00C263BB" w:rsidRPr="001D0A94">
        <w:t>[RESERVED]</w:t>
      </w:r>
    </w:p>
    <w:p w14:paraId="78AAD2D2" w14:textId="17CD557E" w:rsidR="00F51FE1" w:rsidRPr="00081AFF" w:rsidRDefault="00F51FE1" w:rsidP="008E1980">
      <w:pPr>
        <w:widowControl w:val="0"/>
      </w:pPr>
    </w:p>
    <w:sectPr w:rsidR="00F51FE1" w:rsidRPr="00081AFF" w:rsidSect="006A2C0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0932" w14:textId="77777777" w:rsidR="00E35A2C" w:rsidRDefault="00E35A2C">
      <w:r>
        <w:separator/>
      </w:r>
    </w:p>
  </w:endnote>
  <w:endnote w:type="continuationSeparator" w:id="0">
    <w:p w14:paraId="15440848" w14:textId="77777777" w:rsidR="00E35A2C" w:rsidRDefault="00E35A2C">
      <w:r>
        <w:continuationSeparator/>
      </w:r>
    </w:p>
  </w:endnote>
  <w:endnote w:type="continuationNotice" w:id="1">
    <w:p w14:paraId="53994901" w14:textId="77777777" w:rsidR="00E35A2C" w:rsidRDefault="00E35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4BF" w14:textId="77777777" w:rsidR="00796404" w:rsidRDefault="001C40CF">
    <w:pPr>
      <w:framePr w:wrap="around" w:vAnchor="text" w:hAnchor="margin" w:xAlign="center" w:y="1"/>
      <w:tabs>
        <w:tab w:val="center" w:pos="4320"/>
        <w:tab w:val="right" w:pos="8640"/>
      </w:tabs>
    </w:pPr>
    <w:r>
      <w:fldChar w:fldCharType="begin"/>
    </w:r>
    <w:r>
      <w:instrText xml:space="preserve">PAGE  </w:instrText>
    </w:r>
    <w:r>
      <w:fldChar w:fldCharType="separate"/>
    </w:r>
    <w:r>
      <w:rPr>
        <w:noProof/>
      </w:rPr>
      <w:t>14</w:t>
    </w:r>
    <w:r>
      <w:fldChar w:fldCharType="end"/>
    </w:r>
  </w:p>
  <w:p w14:paraId="0A707D42" w14:textId="77777777" w:rsidR="00796404" w:rsidRDefault="0079640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554" w14:textId="12A56343" w:rsidR="00796404" w:rsidRPr="00D954EC" w:rsidRDefault="001C40CF">
    <w:pPr>
      <w:tabs>
        <w:tab w:val="center" w:pos="4320"/>
        <w:tab w:val="right" w:pos="8640"/>
      </w:tabs>
      <w:jc w:val="center"/>
      <w:rPr>
        <w:szCs w:val="24"/>
      </w:rPr>
    </w:pPr>
    <w:r w:rsidRPr="00D954EC">
      <w:rPr>
        <w:szCs w:val="24"/>
      </w:rPr>
      <w:fldChar w:fldCharType="begin"/>
    </w:r>
    <w:r w:rsidRPr="00D954EC">
      <w:rPr>
        <w:szCs w:val="24"/>
      </w:rPr>
      <w:instrText xml:space="preserve"> PAGE   \* MERGEFORMAT </w:instrText>
    </w:r>
    <w:r w:rsidRPr="00D954EC">
      <w:rPr>
        <w:szCs w:val="24"/>
      </w:rPr>
      <w:fldChar w:fldCharType="separate"/>
    </w:r>
    <w:r>
      <w:rPr>
        <w:noProof/>
        <w:szCs w:val="24"/>
      </w:rPr>
      <w:t>9</w:t>
    </w:r>
    <w:r w:rsidRPr="00D954EC">
      <w:rPr>
        <w:noProof/>
        <w:szCs w:val="24"/>
      </w:rPr>
      <w:fldChar w:fldCharType="end"/>
    </w:r>
  </w:p>
  <w:p w14:paraId="6796DFB4" w14:textId="66B4C05F" w:rsidR="00796404" w:rsidRDefault="001C40CF" w:rsidP="00997A45">
    <w:pPr>
      <w:tabs>
        <w:tab w:val="right" w:pos="9360"/>
      </w:tabs>
      <w:rPr>
        <w:sz w:val="20"/>
      </w:rPr>
    </w:pPr>
    <w:r>
      <w:rPr>
        <w:sz w:val="20"/>
      </w:rPr>
      <w:t xml:space="preserve">PG&amp;E </w:t>
    </w:r>
    <w:r w:rsidR="00DD2645">
      <w:rPr>
        <w:sz w:val="20"/>
      </w:rPr>
      <w:t>CPE Local RA</w:t>
    </w:r>
    <w:r>
      <w:rPr>
        <w:sz w:val="20"/>
      </w:rPr>
      <w:t xml:space="preserve"> (Log No. </w:t>
    </w:r>
    <w:r w:rsidRPr="00936846">
      <w:rPr>
        <w:sz w:val="20"/>
        <w:highlight w:val="yellow"/>
      </w:rPr>
      <w:t>TBD</w:t>
    </w:r>
    <w:r>
      <w:rPr>
        <w:sz w:val="20"/>
      </w:rPr>
      <w:t>)</w:t>
    </w:r>
  </w:p>
  <w:p w14:paraId="7F8392BA" w14:textId="4B6A7550" w:rsidR="00796404" w:rsidRDefault="00834EE6" w:rsidP="00C77FA3">
    <w:pPr>
      <w:tabs>
        <w:tab w:val="right" w:pos="9360"/>
      </w:tabs>
      <w:rPr>
        <w:sz w:val="20"/>
      </w:rPr>
    </w:pPr>
    <w:r>
      <w:rPr>
        <w:sz w:val="20"/>
      </w:rPr>
      <w:t xml:space="preserve">EEI Monthly Firm </w:t>
    </w:r>
    <w:r w:rsidR="00DD2645">
      <w:rPr>
        <w:sz w:val="20"/>
      </w:rPr>
      <w:t xml:space="preserve">Local </w:t>
    </w:r>
    <w:r>
      <w:rPr>
        <w:sz w:val="20"/>
      </w:rPr>
      <w:t>RA Confirm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2A63" w14:textId="77777777" w:rsidR="00796404" w:rsidRDefault="00796404">
    <w:pP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73E" w14:textId="77777777" w:rsidR="00796404" w:rsidRDefault="001C40CF">
    <w:pPr>
      <w:framePr w:wrap="around" w:vAnchor="text" w:hAnchor="margin" w:xAlign="center" w:y="1"/>
      <w:tabs>
        <w:tab w:val="center" w:pos="4320"/>
        <w:tab w:val="right" w:pos="8640"/>
      </w:tabs>
    </w:pPr>
    <w:r>
      <w:fldChar w:fldCharType="begin"/>
    </w:r>
    <w:r>
      <w:instrText xml:space="preserve">PAGE  </w:instrText>
    </w:r>
    <w:r>
      <w:fldChar w:fldCharType="separate"/>
    </w:r>
    <w:r>
      <w:rPr>
        <w:noProof/>
      </w:rPr>
      <w:t>14</w:t>
    </w:r>
    <w:r>
      <w:fldChar w:fldCharType="end"/>
    </w:r>
  </w:p>
  <w:p w14:paraId="465D1386" w14:textId="77777777" w:rsidR="00796404" w:rsidRDefault="00796404">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CAC1" w14:textId="77777777" w:rsidR="00E35A2C" w:rsidRDefault="00E35A2C">
      <w:r>
        <w:separator/>
      </w:r>
    </w:p>
  </w:footnote>
  <w:footnote w:type="continuationSeparator" w:id="0">
    <w:p w14:paraId="5B16B59B" w14:textId="77777777" w:rsidR="00E35A2C" w:rsidRDefault="00E35A2C">
      <w:r>
        <w:continuationSeparator/>
      </w:r>
    </w:p>
  </w:footnote>
  <w:footnote w:type="continuationNotice" w:id="1">
    <w:p w14:paraId="25D18205" w14:textId="77777777" w:rsidR="00E35A2C" w:rsidRDefault="00E35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BD65" w14:textId="77777777" w:rsidR="00796404" w:rsidRDefault="00796404">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071B" w14:textId="55F28C9A" w:rsidR="00796404" w:rsidRDefault="001C40CF" w:rsidP="003A33BA">
    <w:pPr>
      <w:tabs>
        <w:tab w:val="center" w:pos="4320"/>
        <w:tab w:val="right" w:pos="8640"/>
      </w:tabs>
      <w:jc w:val="right"/>
      <w:rPr>
        <w:b/>
        <w:i/>
        <w:color w:val="FF0000"/>
      </w:rPr>
    </w:pPr>
    <w:r w:rsidRPr="003A33BA">
      <w:rPr>
        <w:b/>
        <w:i/>
        <w:color w:val="FF0000"/>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6506" w14:textId="77777777" w:rsidR="00796404" w:rsidRDefault="00796404">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860B" w14:textId="77777777" w:rsidR="00796404" w:rsidRPr="009A52ED" w:rsidRDefault="00796404" w:rsidP="009A52E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ECFA"/>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5767E"/>
    <w:multiLevelType w:val="multilevel"/>
    <w:tmpl w:val="C9264C3A"/>
    <w:lvl w:ilvl="0">
      <w:start w:val="1"/>
      <w:numFmt w:val="decimal"/>
      <w:suff w:val="nothing"/>
      <w:lvlText w:val="ARTICLE %1"/>
      <w:lvlJc w:val="center"/>
      <w:pPr>
        <w:ind w:left="-4140" w:firstLine="9360"/>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0"/>
        </w:tabs>
        <w:ind w:left="720" w:hanging="720"/>
      </w:pPr>
      <w:rPr>
        <w:rFonts w:ascii="Times New Roman" w:hAnsi="Times New Roman" w:cs="Times New Roman" w:hint="default"/>
        <w:b/>
        <w:bCs/>
        <w:i w:val="0"/>
        <w:iCs w:val="0"/>
        <w:sz w:val="24"/>
        <w:szCs w:val="24"/>
      </w:rPr>
    </w:lvl>
    <w:lvl w:ilvl="2">
      <w:start w:val="1"/>
      <w:numFmt w:val="lowerLetter"/>
      <w:lvlText w:val="(%3)"/>
      <w:lvlJc w:val="left"/>
      <w:pPr>
        <w:tabs>
          <w:tab w:val="num" w:pos="720"/>
        </w:tabs>
        <w:ind w:left="1440" w:hanging="720"/>
      </w:pPr>
      <w:rPr>
        <w:rFonts w:ascii="Times New Roman" w:eastAsia="Times New Roman" w:hAnsi="Times New Roman" w:cs="Times New Roman"/>
        <w:b w:val="0"/>
        <w:bCs w:val="0"/>
        <w:i w:val="0"/>
        <w:iCs w:val="0"/>
        <w:sz w:val="24"/>
        <w:szCs w:val="24"/>
      </w:rPr>
    </w:lvl>
    <w:lvl w:ilvl="3">
      <w:start w:val="1"/>
      <w:numFmt w:val="lowerRoman"/>
      <w:lvlText w:val="(%4)"/>
      <w:lvlJc w:val="left"/>
      <w:pPr>
        <w:tabs>
          <w:tab w:val="num" w:pos="1440"/>
        </w:tabs>
        <w:ind w:left="2160" w:hanging="360"/>
      </w:pPr>
      <w:rPr>
        <w:rFonts w:ascii="Times New Roman" w:eastAsia="Times New Roman" w:hAnsi="Times New Roman" w:cs="Times New Roman" w:hint="default"/>
        <w:sz w:val="24"/>
        <w:szCs w:val="24"/>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11"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2D28BE"/>
    <w:multiLevelType w:val="hybridMultilevel"/>
    <w:tmpl w:val="9970D924"/>
    <w:lvl w:ilvl="0" w:tplc="E0E65698">
      <w:start w:val="1"/>
      <w:numFmt w:val="lowerLetter"/>
      <w:lvlText w:val="(%1)"/>
      <w:lvlJc w:val="left"/>
      <w:pPr>
        <w:tabs>
          <w:tab w:val="num" w:pos="1080"/>
        </w:tabs>
        <w:ind w:left="1080" w:hanging="360"/>
      </w:pPr>
      <w:rPr>
        <w:rFonts w:ascii="Verdana" w:hAnsi="Verdana" w:hint="default"/>
        <w:b w:val="0"/>
        <w:i w:val="0"/>
        <w:sz w:val="20"/>
      </w:rPr>
    </w:lvl>
    <w:lvl w:ilvl="1" w:tplc="9EF25B24" w:tentative="1">
      <w:start w:val="1"/>
      <w:numFmt w:val="lowerLetter"/>
      <w:lvlText w:val="%2."/>
      <w:lvlJc w:val="left"/>
      <w:pPr>
        <w:tabs>
          <w:tab w:val="num" w:pos="1440"/>
        </w:tabs>
        <w:ind w:left="1440" w:hanging="360"/>
      </w:pPr>
    </w:lvl>
    <w:lvl w:ilvl="2" w:tplc="F31C41E0" w:tentative="1">
      <w:start w:val="1"/>
      <w:numFmt w:val="lowerRoman"/>
      <w:lvlText w:val="%3."/>
      <w:lvlJc w:val="right"/>
      <w:pPr>
        <w:tabs>
          <w:tab w:val="num" w:pos="2160"/>
        </w:tabs>
        <w:ind w:left="2160" w:hanging="180"/>
      </w:pPr>
    </w:lvl>
    <w:lvl w:ilvl="3" w:tplc="A96AD4AC" w:tentative="1">
      <w:start w:val="1"/>
      <w:numFmt w:val="decimal"/>
      <w:lvlText w:val="%4."/>
      <w:lvlJc w:val="left"/>
      <w:pPr>
        <w:tabs>
          <w:tab w:val="num" w:pos="2880"/>
        </w:tabs>
        <w:ind w:left="2880" w:hanging="360"/>
      </w:pPr>
    </w:lvl>
    <w:lvl w:ilvl="4" w:tplc="4B206C64" w:tentative="1">
      <w:start w:val="1"/>
      <w:numFmt w:val="lowerLetter"/>
      <w:lvlText w:val="%5."/>
      <w:lvlJc w:val="left"/>
      <w:pPr>
        <w:tabs>
          <w:tab w:val="num" w:pos="3600"/>
        </w:tabs>
        <w:ind w:left="3600" w:hanging="360"/>
      </w:pPr>
    </w:lvl>
    <w:lvl w:ilvl="5" w:tplc="C75C8F86" w:tentative="1">
      <w:start w:val="1"/>
      <w:numFmt w:val="lowerRoman"/>
      <w:lvlText w:val="%6."/>
      <w:lvlJc w:val="right"/>
      <w:pPr>
        <w:tabs>
          <w:tab w:val="num" w:pos="4320"/>
        </w:tabs>
        <w:ind w:left="4320" w:hanging="180"/>
      </w:pPr>
    </w:lvl>
    <w:lvl w:ilvl="6" w:tplc="8EC83214" w:tentative="1">
      <w:start w:val="1"/>
      <w:numFmt w:val="decimal"/>
      <w:lvlText w:val="%7."/>
      <w:lvlJc w:val="left"/>
      <w:pPr>
        <w:tabs>
          <w:tab w:val="num" w:pos="5040"/>
        </w:tabs>
        <w:ind w:left="5040" w:hanging="360"/>
      </w:pPr>
    </w:lvl>
    <w:lvl w:ilvl="7" w:tplc="9B86D5C6" w:tentative="1">
      <w:start w:val="1"/>
      <w:numFmt w:val="lowerLetter"/>
      <w:lvlText w:val="%8."/>
      <w:lvlJc w:val="left"/>
      <w:pPr>
        <w:tabs>
          <w:tab w:val="num" w:pos="5760"/>
        </w:tabs>
        <w:ind w:left="5760" w:hanging="360"/>
      </w:pPr>
    </w:lvl>
    <w:lvl w:ilvl="8" w:tplc="BDB8C340" w:tentative="1">
      <w:start w:val="1"/>
      <w:numFmt w:val="lowerRoman"/>
      <w:lvlText w:val="%9."/>
      <w:lvlJc w:val="right"/>
      <w:pPr>
        <w:tabs>
          <w:tab w:val="num" w:pos="6480"/>
        </w:tabs>
        <w:ind w:left="6480" w:hanging="180"/>
      </w:pPr>
    </w:lvl>
  </w:abstractNum>
  <w:abstractNum w:abstractNumId="14"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1530598"/>
    <w:multiLevelType w:val="hybridMultilevel"/>
    <w:tmpl w:val="7228C1D4"/>
    <w:lvl w:ilvl="0" w:tplc="1A50E800">
      <w:start w:val="1"/>
      <w:numFmt w:val="bullet"/>
      <w:lvlText w:val=""/>
      <w:lvlJc w:val="left"/>
      <w:pPr>
        <w:tabs>
          <w:tab w:val="num" w:pos="720"/>
        </w:tabs>
        <w:ind w:left="720" w:hanging="360"/>
      </w:pPr>
      <w:rPr>
        <w:rFonts w:ascii="Symbol" w:hAnsi="Symbol" w:cs="Symbol" w:hint="default"/>
      </w:rPr>
    </w:lvl>
    <w:lvl w:ilvl="1" w:tplc="C4046560" w:tentative="1">
      <w:start w:val="1"/>
      <w:numFmt w:val="bullet"/>
      <w:lvlText w:val="o"/>
      <w:lvlJc w:val="left"/>
      <w:pPr>
        <w:tabs>
          <w:tab w:val="num" w:pos="2160"/>
        </w:tabs>
        <w:ind w:left="2160" w:hanging="360"/>
      </w:pPr>
      <w:rPr>
        <w:rFonts w:ascii="Courier New" w:hAnsi="Courier New" w:cs="Courier New" w:hint="default"/>
      </w:rPr>
    </w:lvl>
    <w:lvl w:ilvl="2" w:tplc="82044FBC" w:tentative="1">
      <w:start w:val="1"/>
      <w:numFmt w:val="bullet"/>
      <w:lvlText w:val=""/>
      <w:lvlJc w:val="left"/>
      <w:pPr>
        <w:tabs>
          <w:tab w:val="num" w:pos="2880"/>
        </w:tabs>
        <w:ind w:left="2880" w:hanging="360"/>
      </w:pPr>
      <w:rPr>
        <w:rFonts w:ascii="Wingdings" w:hAnsi="Wingdings" w:cs="Wingdings" w:hint="default"/>
      </w:rPr>
    </w:lvl>
    <w:lvl w:ilvl="3" w:tplc="563241FE" w:tentative="1">
      <w:start w:val="1"/>
      <w:numFmt w:val="bullet"/>
      <w:lvlText w:val=""/>
      <w:lvlJc w:val="left"/>
      <w:pPr>
        <w:tabs>
          <w:tab w:val="num" w:pos="3600"/>
        </w:tabs>
        <w:ind w:left="3600" w:hanging="360"/>
      </w:pPr>
      <w:rPr>
        <w:rFonts w:ascii="Symbol" w:hAnsi="Symbol" w:cs="Symbol" w:hint="default"/>
      </w:rPr>
    </w:lvl>
    <w:lvl w:ilvl="4" w:tplc="0CBE16A2" w:tentative="1">
      <w:start w:val="1"/>
      <w:numFmt w:val="bullet"/>
      <w:lvlText w:val="o"/>
      <w:lvlJc w:val="left"/>
      <w:pPr>
        <w:tabs>
          <w:tab w:val="num" w:pos="4320"/>
        </w:tabs>
        <w:ind w:left="4320" w:hanging="360"/>
      </w:pPr>
      <w:rPr>
        <w:rFonts w:ascii="Courier New" w:hAnsi="Courier New" w:cs="Courier New" w:hint="default"/>
      </w:rPr>
    </w:lvl>
    <w:lvl w:ilvl="5" w:tplc="CE16BFC6" w:tentative="1">
      <w:start w:val="1"/>
      <w:numFmt w:val="bullet"/>
      <w:lvlText w:val=""/>
      <w:lvlJc w:val="left"/>
      <w:pPr>
        <w:tabs>
          <w:tab w:val="num" w:pos="5040"/>
        </w:tabs>
        <w:ind w:left="5040" w:hanging="360"/>
      </w:pPr>
      <w:rPr>
        <w:rFonts w:ascii="Wingdings" w:hAnsi="Wingdings" w:cs="Wingdings" w:hint="default"/>
      </w:rPr>
    </w:lvl>
    <w:lvl w:ilvl="6" w:tplc="BEF41492" w:tentative="1">
      <w:start w:val="1"/>
      <w:numFmt w:val="bullet"/>
      <w:lvlText w:val=""/>
      <w:lvlJc w:val="left"/>
      <w:pPr>
        <w:tabs>
          <w:tab w:val="num" w:pos="5760"/>
        </w:tabs>
        <w:ind w:left="5760" w:hanging="360"/>
      </w:pPr>
      <w:rPr>
        <w:rFonts w:ascii="Symbol" w:hAnsi="Symbol" w:cs="Symbol" w:hint="default"/>
      </w:rPr>
    </w:lvl>
    <w:lvl w:ilvl="7" w:tplc="80A853BE" w:tentative="1">
      <w:start w:val="1"/>
      <w:numFmt w:val="bullet"/>
      <w:lvlText w:val="o"/>
      <w:lvlJc w:val="left"/>
      <w:pPr>
        <w:tabs>
          <w:tab w:val="num" w:pos="6480"/>
        </w:tabs>
        <w:ind w:left="6480" w:hanging="360"/>
      </w:pPr>
      <w:rPr>
        <w:rFonts w:ascii="Courier New" w:hAnsi="Courier New" w:cs="Courier New" w:hint="default"/>
      </w:rPr>
    </w:lvl>
    <w:lvl w:ilvl="8" w:tplc="20EEB500"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41A22D75"/>
    <w:multiLevelType w:val="multilevel"/>
    <w:tmpl w:val="05DAF712"/>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8" w15:restartNumberingAfterBreak="0">
    <w:nsid w:val="4DDA7B35"/>
    <w:multiLevelType w:val="multilevel"/>
    <w:tmpl w:val="ADA87422"/>
    <w:lvl w:ilvl="0">
      <w:start w:val="1"/>
      <w:numFmt w:val="upperRoman"/>
      <w:lvlText w:val="%1."/>
      <w:lvlJc w:val="left"/>
      <w:pPr>
        <w:tabs>
          <w:tab w:val="num" w:pos="720"/>
        </w:tabs>
        <w:ind w:left="720" w:hanging="720"/>
      </w:pPr>
      <w:rPr>
        <w:rFonts w:hint="default"/>
        <w:caps w:val="0"/>
        <w:smallCaps w:val="0"/>
        <w:u w:val="none"/>
      </w:rPr>
    </w:lvl>
    <w:lvl w:ilvl="1">
      <w:start w:val="1"/>
      <w:numFmt w:val="upperLetter"/>
      <w:lvlText w:val="%2."/>
      <w:lvlJc w:val="left"/>
      <w:pPr>
        <w:tabs>
          <w:tab w:val="num" w:pos="1440"/>
        </w:tabs>
        <w:ind w:left="1440" w:hanging="720"/>
      </w:pPr>
      <w:rPr>
        <w:rFonts w:hint="default"/>
        <w:caps w:val="0"/>
        <w:smallCaps w:val="0"/>
        <w:u w:val="none"/>
      </w:rPr>
    </w:lvl>
    <w:lvl w:ilvl="2">
      <w:start w:val="1"/>
      <w:numFmt w:val="decimal"/>
      <w:lvlText w:val="%3."/>
      <w:lvlJc w:val="left"/>
      <w:pPr>
        <w:tabs>
          <w:tab w:val="num" w:pos="2160"/>
        </w:tabs>
        <w:ind w:left="2160" w:hanging="720"/>
      </w:pPr>
      <w:rPr>
        <w:rFonts w:hint="default"/>
        <w:caps w:val="0"/>
        <w:smallCaps w:val="0"/>
        <w:u w:val="none"/>
      </w:rPr>
    </w:lvl>
    <w:lvl w:ilvl="3">
      <w:start w:val="1"/>
      <w:numFmt w:val="lowerLetter"/>
      <w:lvlText w:val="%4."/>
      <w:lvlJc w:val="left"/>
      <w:pPr>
        <w:tabs>
          <w:tab w:val="num" w:pos="2880"/>
        </w:tabs>
        <w:ind w:left="2880" w:hanging="720"/>
      </w:pPr>
      <w:rPr>
        <w:rFonts w:hint="default"/>
        <w:caps w:val="0"/>
        <w:smallCaps w:val="0"/>
        <w:u w:val="none"/>
      </w:rPr>
    </w:lvl>
    <w:lvl w:ilvl="4">
      <w:start w:val="1"/>
      <w:numFmt w:val="lowerRoman"/>
      <w:lvlText w:val="(%5)"/>
      <w:lvlJc w:val="right"/>
      <w:pPr>
        <w:tabs>
          <w:tab w:val="num" w:pos="3600"/>
        </w:tabs>
        <w:ind w:left="3600" w:hanging="576"/>
      </w:pPr>
      <w:rPr>
        <w:rFonts w:hint="default"/>
        <w:caps w:val="0"/>
        <w:smallCaps w:val="0"/>
        <w:u w:val="none"/>
      </w:rPr>
    </w:lvl>
    <w:lvl w:ilvl="5">
      <w:start w:val="1"/>
      <w:numFmt w:val="upperLetter"/>
      <w:lvlText w:val="(%6)"/>
      <w:lvlJc w:val="left"/>
      <w:pPr>
        <w:tabs>
          <w:tab w:val="num" w:pos="4320"/>
        </w:tabs>
        <w:ind w:left="4320" w:hanging="720"/>
      </w:pPr>
      <w:rPr>
        <w:rFonts w:hint="default"/>
        <w:caps w:val="0"/>
        <w:smallCaps w:val="0"/>
        <w:u w:val="none"/>
      </w:rPr>
    </w:lvl>
    <w:lvl w:ilvl="6">
      <w:start w:val="1"/>
      <w:numFmt w:val="decimal"/>
      <w:lvlText w:val="(%7)"/>
      <w:lvlJc w:val="left"/>
      <w:pPr>
        <w:tabs>
          <w:tab w:val="num" w:pos="5040"/>
        </w:tabs>
        <w:ind w:left="5040" w:hanging="720"/>
      </w:pPr>
      <w:rPr>
        <w:rFonts w:hint="default"/>
        <w:caps w:val="0"/>
        <w:smallCaps w:val="0"/>
        <w:u w:val="none"/>
      </w:rPr>
    </w:lvl>
    <w:lvl w:ilvl="7">
      <w:start w:val="1"/>
      <w:numFmt w:val="lowerLetter"/>
      <w:lvlText w:val="%8)"/>
      <w:lvlJc w:val="left"/>
      <w:pPr>
        <w:tabs>
          <w:tab w:val="num" w:pos="5760"/>
        </w:tabs>
        <w:ind w:left="5760" w:hanging="720"/>
      </w:pPr>
      <w:rPr>
        <w:rFonts w:hint="default"/>
        <w:caps w:val="0"/>
        <w:smallCaps w:val="0"/>
        <w:u w:val="none"/>
      </w:rPr>
    </w:lvl>
    <w:lvl w:ilvl="8">
      <w:start w:val="1"/>
      <w:numFmt w:val="lowerRoman"/>
      <w:lvlText w:val="%9)"/>
      <w:lvlJc w:val="right"/>
      <w:pPr>
        <w:tabs>
          <w:tab w:val="num" w:pos="6480"/>
        </w:tabs>
        <w:ind w:left="6480" w:hanging="576"/>
      </w:pPr>
      <w:rPr>
        <w:rFonts w:hint="default"/>
        <w:caps w:val="0"/>
        <w:smallCaps w:val="0"/>
        <w:u w:val="none"/>
      </w:rPr>
    </w:lvl>
  </w:abstractNum>
  <w:abstractNum w:abstractNumId="19"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EF1777"/>
    <w:multiLevelType w:val="multilevel"/>
    <w:tmpl w:val="BD4229CE"/>
    <w:lvl w:ilvl="0">
      <w:start w:val="1"/>
      <w:numFmt w:val="decimal"/>
      <w:pStyle w:val="Heading1"/>
      <w:suff w:val="nothing"/>
      <w:lvlText w:val="Article %1"/>
      <w:lvlJc w:val="left"/>
      <w:pPr>
        <w:tabs>
          <w:tab w:val="num" w:pos="0"/>
        </w:tabs>
        <w:ind w:left="0" w:firstLine="0"/>
      </w:pPr>
      <w:rPr>
        <w:caps/>
        <w:smallCaps w:val="0"/>
        <w:strike w:val="0"/>
        <w:dstrike w:val="0"/>
        <w:color w:val="010000"/>
        <w:u w:val="none"/>
      </w:rPr>
    </w:lvl>
    <w:lvl w:ilvl="1">
      <w:start w:val="1"/>
      <w:numFmt w:val="decimal"/>
      <w:pStyle w:val="Heading2"/>
      <w:isLgl/>
      <w:lvlText w:val="%1.%2"/>
      <w:lvlJc w:val="left"/>
      <w:pPr>
        <w:tabs>
          <w:tab w:val="num" w:pos="0"/>
        </w:tabs>
        <w:ind w:left="720" w:hanging="720"/>
      </w:pPr>
      <w:rPr>
        <w:caps w:val="0"/>
        <w:strike w:val="0"/>
        <w:dstrike w:val="0"/>
        <w:color w:val="010000"/>
        <w:u w:val="none"/>
      </w:rPr>
    </w:lvl>
    <w:lvl w:ilvl="2">
      <w:start w:val="1"/>
      <w:numFmt w:val="lowerLetter"/>
      <w:pStyle w:val="Heading3"/>
      <w:lvlText w:val="(%3)"/>
      <w:lvlJc w:val="left"/>
      <w:pPr>
        <w:tabs>
          <w:tab w:val="num" w:pos="0"/>
        </w:tabs>
        <w:ind w:left="1440" w:hanging="720"/>
      </w:pPr>
      <w:rPr>
        <w:b/>
        <w:caps w:val="0"/>
        <w:strike w:val="0"/>
        <w:dstrike w:val="0"/>
        <w:color w:val="010000"/>
        <w:u w:val="none"/>
      </w:rPr>
    </w:lvl>
    <w:lvl w:ilvl="3">
      <w:start w:val="1"/>
      <w:numFmt w:val="lowerRoman"/>
      <w:pStyle w:val="Heading4"/>
      <w:lvlText w:val="(%4)"/>
      <w:lvlJc w:val="left"/>
      <w:pPr>
        <w:tabs>
          <w:tab w:val="num" w:pos="0"/>
        </w:tabs>
        <w:ind w:left="2160" w:hanging="720"/>
      </w:pPr>
      <w:rPr>
        <w:caps w:val="0"/>
        <w:strike w:val="0"/>
        <w:dstrike w:val="0"/>
        <w:color w:val="010000"/>
        <w:u w:val="none"/>
      </w:rPr>
    </w:lvl>
    <w:lvl w:ilvl="4">
      <w:start w:val="1"/>
      <w:numFmt w:val="upperLetter"/>
      <w:pStyle w:val="Heading5"/>
      <w:lvlText w:val="(%5)"/>
      <w:lvlJc w:val="left"/>
      <w:pPr>
        <w:tabs>
          <w:tab w:val="num" w:pos="0"/>
        </w:tabs>
        <w:ind w:left="1440" w:firstLine="1440"/>
      </w:pPr>
      <w:rPr>
        <w:caps w:val="0"/>
        <w:strike w:val="0"/>
        <w:dstrike w:val="0"/>
        <w:color w:val="010000"/>
        <w:u w:val="none"/>
      </w:rPr>
    </w:lvl>
    <w:lvl w:ilvl="5">
      <w:start w:val="1"/>
      <w:numFmt w:val="lowerLetter"/>
      <w:pStyle w:val="Heading6"/>
      <w:lvlText w:val="%6."/>
      <w:lvlJc w:val="left"/>
      <w:pPr>
        <w:tabs>
          <w:tab w:val="num" w:pos="0"/>
        </w:tabs>
        <w:ind w:left="2160" w:firstLine="1440"/>
      </w:pPr>
      <w:rPr>
        <w:caps w:val="0"/>
        <w:strike w:val="0"/>
        <w:dstrike w:val="0"/>
        <w:color w:val="010000"/>
        <w:u w:val="none"/>
      </w:rPr>
    </w:lvl>
    <w:lvl w:ilvl="6">
      <w:start w:val="1"/>
      <w:numFmt w:val="decimal"/>
      <w:pStyle w:val="Heading7"/>
      <w:lvlText w:val="%7."/>
      <w:lvlJc w:val="left"/>
      <w:pPr>
        <w:tabs>
          <w:tab w:val="num" w:pos="0"/>
        </w:tabs>
        <w:ind w:left="2880" w:firstLine="1440"/>
      </w:pPr>
      <w:rPr>
        <w:caps w:val="0"/>
        <w:strike w:val="0"/>
        <w:dstrike w:val="0"/>
        <w:color w:val="010000"/>
        <w:u w:val="none"/>
      </w:rPr>
    </w:lvl>
    <w:lvl w:ilvl="7">
      <w:start w:val="1"/>
      <w:numFmt w:val="lowerRoman"/>
      <w:pStyle w:val="Heading8"/>
      <w:lvlText w:val="%8."/>
      <w:lvlJc w:val="left"/>
      <w:pPr>
        <w:tabs>
          <w:tab w:val="num" w:pos="0"/>
        </w:tabs>
        <w:ind w:left="3600" w:firstLine="1440"/>
      </w:pPr>
      <w:rPr>
        <w:caps w:val="0"/>
        <w:strike w:val="0"/>
        <w:dstrike w:val="0"/>
        <w:color w:val="010000"/>
        <w:u w:val="none"/>
      </w:rPr>
    </w:lvl>
    <w:lvl w:ilvl="8">
      <w:start w:val="1"/>
      <w:numFmt w:val="decimal"/>
      <w:pStyle w:val="Heading9"/>
      <w:lvlText w:val="(%9)"/>
      <w:lvlJc w:val="left"/>
      <w:pPr>
        <w:tabs>
          <w:tab w:val="num" w:pos="0"/>
        </w:tabs>
        <w:ind w:left="4320" w:firstLine="1440"/>
      </w:pPr>
      <w:rPr>
        <w:caps w:val="0"/>
        <w:strike w:val="0"/>
        <w:dstrike w:val="0"/>
        <w:color w:val="010000"/>
        <w:u w:val="none"/>
      </w:rPr>
    </w:lvl>
  </w:abstractNum>
  <w:abstractNum w:abstractNumId="21"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0265487">
    <w:abstractNumId w:val="10"/>
  </w:num>
  <w:num w:numId="2" w16cid:durableId="1687053636">
    <w:abstractNumId w:val="15"/>
  </w:num>
  <w:num w:numId="3" w16cid:durableId="330453994">
    <w:abstractNumId w:val="16"/>
  </w:num>
  <w:num w:numId="4" w16cid:durableId="396369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671247">
    <w:abstractNumId w:val="13"/>
  </w:num>
  <w:num w:numId="6" w16cid:durableId="1901668654">
    <w:abstractNumId w:val="10"/>
  </w:num>
  <w:num w:numId="7" w16cid:durableId="986402619">
    <w:abstractNumId w:val="10"/>
  </w:num>
  <w:num w:numId="8" w16cid:durableId="1569993849">
    <w:abstractNumId w:val="10"/>
  </w:num>
  <w:num w:numId="9" w16cid:durableId="1802839556">
    <w:abstractNumId w:val="10"/>
  </w:num>
  <w:num w:numId="10" w16cid:durableId="1660231558">
    <w:abstractNumId w:val="10"/>
  </w:num>
  <w:num w:numId="11" w16cid:durableId="1392312621">
    <w:abstractNumId w:val="10"/>
  </w:num>
  <w:num w:numId="12" w16cid:durableId="1403719990">
    <w:abstractNumId w:val="10"/>
  </w:num>
  <w:num w:numId="13" w16cid:durableId="260263190">
    <w:abstractNumId w:val="10"/>
  </w:num>
  <w:num w:numId="14" w16cid:durableId="535973036">
    <w:abstractNumId w:val="10"/>
  </w:num>
  <w:num w:numId="15" w16cid:durableId="1777099424">
    <w:abstractNumId w:val="20"/>
  </w:num>
  <w:num w:numId="16" w16cid:durableId="561260110">
    <w:abstractNumId w:val="9"/>
  </w:num>
  <w:num w:numId="17" w16cid:durableId="175730287">
    <w:abstractNumId w:val="7"/>
  </w:num>
  <w:num w:numId="18" w16cid:durableId="1498302308">
    <w:abstractNumId w:val="6"/>
  </w:num>
  <w:num w:numId="19" w16cid:durableId="1369599202">
    <w:abstractNumId w:val="5"/>
  </w:num>
  <w:num w:numId="20" w16cid:durableId="622349971">
    <w:abstractNumId w:val="4"/>
  </w:num>
  <w:num w:numId="21" w16cid:durableId="1985698452">
    <w:abstractNumId w:val="8"/>
  </w:num>
  <w:num w:numId="22" w16cid:durableId="1053038141">
    <w:abstractNumId w:val="3"/>
  </w:num>
  <w:num w:numId="23" w16cid:durableId="1370763726">
    <w:abstractNumId w:val="2"/>
  </w:num>
  <w:num w:numId="24" w16cid:durableId="1994866772">
    <w:abstractNumId w:val="1"/>
  </w:num>
  <w:num w:numId="25" w16cid:durableId="821889463">
    <w:abstractNumId w:val="0"/>
  </w:num>
  <w:num w:numId="26" w16cid:durableId="203449523">
    <w:abstractNumId w:val="21"/>
  </w:num>
  <w:num w:numId="27" w16cid:durableId="1930460139">
    <w:abstractNumId w:val="12"/>
  </w:num>
  <w:num w:numId="28" w16cid:durableId="932932723">
    <w:abstractNumId w:val="22"/>
  </w:num>
  <w:num w:numId="29" w16cid:durableId="1636721428">
    <w:abstractNumId w:val="23"/>
  </w:num>
  <w:num w:numId="30" w16cid:durableId="1434788953">
    <w:abstractNumId w:val="14"/>
  </w:num>
  <w:num w:numId="31" w16cid:durableId="1280187469">
    <w:abstractNumId w:val="19"/>
  </w:num>
  <w:num w:numId="32" w16cid:durableId="693075198">
    <w:abstractNumId w:val="18"/>
  </w:num>
  <w:num w:numId="33" w16cid:durableId="1802112118">
    <w:abstractNumId w:val="11"/>
  </w:num>
  <w:num w:numId="34" w16cid:durableId="139189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9424865">
    <w:abstractNumId w:val="17"/>
  </w:num>
  <w:num w:numId="36" w16cid:durableId="759521814">
    <w:abstractNumId w:val="20"/>
    <w:lvlOverride w:ilvl="0">
      <w:startOverride w:val="1"/>
    </w:lvlOverride>
    <w:lvlOverride w:ilvl="1">
      <w:startOverride w:val="1"/>
    </w:lvlOverride>
    <w:lvlOverride w:ilvl="2">
      <w:startOverride w:val="2"/>
    </w:lvlOverride>
  </w:num>
  <w:num w:numId="37" w16cid:durableId="121812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1|0|0|0|0|0|0|0|0|@@"/>
    <w:docVar w:name="SWDocIDLocation" w:val="0"/>
  </w:docVars>
  <w:rsids>
    <w:rsidRoot w:val="002D1676"/>
    <w:rsid w:val="0000041D"/>
    <w:rsid w:val="00001556"/>
    <w:rsid w:val="00002229"/>
    <w:rsid w:val="00002B51"/>
    <w:rsid w:val="00002C72"/>
    <w:rsid w:val="0000432C"/>
    <w:rsid w:val="000047D4"/>
    <w:rsid w:val="00010728"/>
    <w:rsid w:val="00010F1F"/>
    <w:rsid w:val="000114FE"/>
    <w:rsid w:val="00014362"/>
    <w:rsid w:val="000158E0"/>
    <w:rsid w:val="0001691E"/>
    <w:rsid w:val="000169A5"/>
    <w:rsid w:val="00016C45"/>
    <w:rsid w:val="00016E66"/>
    <w:rsid w:val="000172A4"/>
    <w:rsid w:val="000179E9"/>
    <w:rsid w:val="00017CFA"/>
    <w:rsid w:val="00020FA3"/>
    <w:rsid w:val="00021848"/>
    <w:rsid w:val="00022592"/>
    <w:rsid w:val="000235C7"/>
    <w:rsid w:val="00023991"/>
    <w:rsid w:val="00023DE7"/>
    <w:rsid w:val="00025FF6"/>
    <w:rsid w:val="00027B00"/>
    <w:rsid w:val="000306B2"/>
    <w:rsid w:val="00030A70"/>
    <w:rsid w:val="0003230A"/>
    <w:rsid w:val="00032946"/>
    <w:rsid w:val="000332D7"/>
    <w:rsid w:val="00033734"/>
    <w:rsid w:val="000341F5"/>
    <w:rsid w:val="00034817"/>
    <w:rsid w:val="00034C63"/>
    <w:rsid w:val="00036278"/>
    <w:rsid w:val="000367B5"/>
    <w:rsid w:val="00037183"/>
    <w:rsid w:val="000414F2"/>
    <w:rsid w:val="00041BCE"/>
    <w:rsid w:val="0004687F"/>
    <w:rsid w:val="00046CC1"/>
    <w:rsid w:val="0004707A"/>
    <w:rsid w:val="00047BFA"/>
    <w:rsid w:val="0005118F"/>
    <w:rsid w:val="00053A97"/>
    <w:rsid w:val="00053B42"/>
    <w:rsid w:val="00053FD9"/>
    <w:rsid w:val="000557AB"/>
    <w:rsid w:val="0005684C"/>
    <w:rsid w:val="00056A7B"/>
    <w:rsid w:val="00056B45"/>
    <w:rsid w:val="00057288"/>
    <w:rsid w:val="00057AAE"/>
    <w:rsid w:val="0006060D"/>
    <w:rsid w:val="00060F22"/>
    <w:rsid w:val="00061A1F"/>
    <w:rsid w:val="00061ACA"/>
    <w:rsid w:val="00062974"/>
    <w:rsid w:val="0006319C"/>
    <w:rsid w:val="00063571"/>
    <w:rsid w:val="00064D55"/>
    <w:rsid w:val="00065FB7"/>
    <w:rsid w:val="00067017"/>
    <w:rsid w:val="000676FB"/>
    <w:rsid w:val="00067A3F"/>
    <w:rsid w:val="00067A67"/>
    <w:rsid w:val="00072107"/>
    <w:rsid w:val="0007244D"/>
    <w:rsid w:val="000742F8"/>
    <w:rsid w:val="00080561"/>
    <w:rsid w:val="00080BB1"/>
    <w:rsid w:val="00080EC4"/>
    <w:rsid w:val="00081AFF"/>
    <w:rsid w:val="000821E7"/>
    <w:rsid w:val="00083662"/>
    <w:rsid w:val="0008479E"/>
    <w:rsid w:val="000847E8"/>
    <w:rsid w:val="00086A8A"/>
    <w:rsid w:val="00087D06"/>
    <w:rsid w:val="0009081F"/>
    <w:rsid w:val="00090A00"/>
    <w:rsid w:val="00091778"/>
    <w:rsid w:val="000923F1"/>
    <w:rsid w:val="00093A5A"/>
    <w:rsid w:val="000942BD"/>
    <w:rsid w:val="00094E3F"/>
    <w:rsid w:val="00095EEA"/>
    <w:rsid w:val="00095F96"/>
    <w:rsid w:val="0009783E"/>
    <w:rsid w:val="000A0528"/>
    <w:rsid w:val="000A272C"/>
    <w:rsid w:val="000A352C"/>
    <w:rsid w:val="000A3536"/>
    <w:rsid w:val="000A5CF7"/>
    <w:rsid w:val="000A7C2C"/>
    <w:rsid w:val="000B230F"/>
    <w:rsid w:val="000B335D"/>
    <w:rsid w:val="000B39A2"/>
    <w:rsid w:val="000B53B5"/>
    <w:rsid w:val="000B5862"/>
    <w:rsid w:val="000B6D0A"/>
    <w:rsid w:val="000B717E"/>
    <w:rsid w:val="000B7603"/>
    <w:rsid w:val="000B79EF"/>
    <w:rsid w:val="000C1B87"/>
    <w:rsid w:val="000C216C"/>
    <w:rsid w:val="000C2298"/>
    <w:rsid w:val="000C2E27"/>
    <w:rsid w:val="000C2FDF"/>
    <w:rsid w:val="000C34D8"/>
    <w:rsid w:val="000C3551"/>
    <w:rsid w:val="000C45AF"/>
    <w:rsid w:val="000C4C0E"/>
    <w:rsid w:val="000C5C0E"/>
    <w:rsid w:val="000C6090"/>
    <w:rsid w:val="000C646E"/>
    <w:rsid w:val="000C6D0A"/>
    <w:rsid w:val="000C7811"/>
    <w:rsid w:val="000C7B7C"/>
    <w:rsid w:val="000D0047"/>
    <w:rsid w:val="000D0591"/>
    <w:rsid w:val="000D0913"/>
    <w:rsid w:val="000D0F70"/>
    <w:rsid w:val="000D1D0D"/>
    <w:rsid w:val="000D2863"/>
    <w:rsid w:val="000D369A"/>
    <w:rsid w:val="000D5BE8"/>
    <w:rsid w:val="000D6589"/>
    <w:rsid w:val="000D67EE"/>
    <w:rsid w:val="000D7567"/>
    <w:rsid w:val="000D7DE4"/>
    <w:rsid w:val="000E232C"/>
    <w:rsid w:val="000E3672"/>
    <w:rsid w:val="000E4C31"/>
    <w:rsid w:val="000E593F"/>
    <w:rsid w:val="000E5A49"/>
    <w:rsid w:val="000E64E1"/>
    <w:rsid w:val="000E72AC"/>
    <w:rsid w:val="000F072A"/>
    <w:rsid w:val="000F15A2"/>
    <w:rsid w:val="000F4799"/>
    <w:rsid w:val="000F4A16"/>
    <w:rsid w:val="000F5AE6"/>
    <w:rsid w:val="000F6214"/>
    <w:rsid w:val="000F6A86"/>
    <w:rsid w:val="000F7517"/>
    <w:rsid w:val="000F7DF5"/>
    <w:rsid w:val="000F7FB0"/>
    <w:rsid w:val="00101F6D"/>
    <w:rsid w:val="00101F72"/>
    <w:rsid w:val="00103170"/>
    <w:rsid w:val="00103E86"/>
    <w:rsid w:val="00104006"/>
    <w:rsid w:val="001042D3"/>
    <w:rsid w:val="00104CBA"/>
    <w:rsid w:val="00105154"/>
    <w:rsid w:val="0010743D"/>
    <w:rsid w:val="0010769F"/>
    <w:rsid w:val="00110A07"/>
    <w:rsid w:val="00111C98"/>
    <w:rsid w:val="0011268B"/>
    <w:rsid w:val="00112DD4"/>
    <w:rsid w:val="00113749"/>
    <w:rsid w:val="00114CCF"/>
    <w:rsid w:val="00116343"/>
    <w:rsid w:val="00117B4A"/>
    <w:rsid w:val="001218E7"/>
    <w:rsid w:val="0012197B"/>
    <w:rsid w:val="001222AD"/>
    <w:rsid w:val="00122401"/>
    <w:rsid w:val="00123DA5"/>
    <w:rsid w:val="001247C1"/>
    <w:rsid w:val="00124F66"/>
    <w:rsid w:val="00125240"/>
    <w:rsid w:val="001253F6"/>
    <w:rsid w:val="0012597A"/>
    <w:rsid w:val="00126A12"/>
    <w:rsid w:val="00127052"/>
    <w:rsid w:val="00127684"/>
    <w:rsid w:val="00127E78"/>
    <w:rsid w:val="00132D7F"/>
    <w:rsid w:val="00133BDD"/>
    <w:rsid w:val="00133E83"/>
    <w:rsid w:val="001340F4"/>
    <w:rsid w:val="001344DE"/>
    <w:rsid w:val="001349E7"/>
    <w:rsid w:val="00135049"/>
    <w:rsid w:val="001350FC"/>
    <w:rsid w:val="0013551A"/>
    <w:rsid w:val="00141D37"/>
    <w:rsid w:val="001426A1"/>
    <w:rsid w:val="00142C6A"/>
    <w:rsid w:val="00143285"/>
    <w:rsid w:val="0014355C"/>
    <w:rsid w:val="001455A0"/>
    <w:rsid w:val="001459A0"/>
    <w:rsid w:val="00145CED"/>
    <w:rsid w:val="00146214"/>
    <w:rsid w:val="00147A77"/>
    <w:rsid w:val="00151274"/>
    <w:rsid w:val="00152D9D"/>
    <w:rsid w:val="00152EE5"/>
    <w:rsid w:val="00153956"/>
    <w:rsid w:val="00153E2B"/>
    <w:rsid w:val="00155341"/>
    <w:rsid w:val="00157039"/>
    <w:rsid w:val="001575BC"/>
    <w:rsid w:val="0016132A"/>
    <w:rsid w:val="001618AF"/>
    <w:rsid w:val="00164D6F"/>
    <w:rsid w:val="001666F7"/>
    <w:rsid w:val="00166CA8"/>
    <w:rsid w:val="00166E6F"/>
    <w:rsid w:val="00171562"/>
    <w:rsid w:val="00171822"/>
    <w:rsid w:val="00171985"/>
    <w:rsid w:val="001722F5"/>
    <w:rsid w:val="00173D9B"/>
    <w:rsid w:val="00173DB2"/>
    <w:rsid w:val="00174621"/>
    <w:rsid w:val="00174C67"/>
    <w:rsid w:val="001763F5"/>
    <w:rsid w:val="001777B6"/>
    <w:rsid w:val="00177B7C"/>
    <w:rsid w:val="00180054"/>
    <w:rsid w:val="00180874"/>
    <w:rsid w:val="001809F4"/>
    <w:rsid w:val="0018275A"/>
    <w:rsid w:val="0018301A"/>
    <w:rsid w:val="0018366A"/>
    <w:rsid w:val="001861B2"/>
    <w:rsid w:val="00187291"/>
    <w:rsid w:val="001876ED"/>
    <w:rsid w:val="00187DAF"/>
    <w:rsid w:val="0019027C"/>
    <w:rsid w:val="0019055F"/>
    <w:rsid w:val="00190A9D"/>
    <w:rsid w:val="00190DD1"/>
    <w:rsid w:val="0019102B"/>
    <w:rsid w:val="00191FD2"/>
    <w:rsid w:val="00194F99"/>
    <w:rsid w:val="00194FCF"/>
    <w:rsid w:val="00195C34"/>
    <w:rsid w:val="00196110"/>
    <w:rsid w:val="00196E20"/>
    <w:rsid w:val="00197497"/>
    <w:rsid w:val="001A12A5"/>
    <w:rsid w:val="001A1390"/>
    <w:rsid w:val="001A26E6"/>
    <w:rsid w:val="001A490E"/>
    <w:rsid w:val="001A722A"/>
    <w:rsid w:val="001A72AE"/>
    <w:rsid w:val="001B36B6"/>
    <w:rsid w:val="001B3A5A"/>
    <w:rsid w:val="001B4463"/>
    <w:rsid w:val="001B47C9"/>
    <w:rsid w:val="001B5800"/>
    <w:rsid w:val="001B633F"/>
    <w:rsid w:val="001B668D"/>
    <w:rsid w:val="001C0000"/>
    <w:rsid w:val="001C1AF6"/>
    <w:rsid w:val="001C1B90"/>
    <w:rsid w:val="001C248A"/>
    <w:rsid w:val="001C25EE"/>
    <w:rsid w:val="001C2C20"/>
    <w:rsid w:val="001C3BC3"/>
    <w:rsid w:val="001C3D7A"/>
    <w:rsid w:val="001C40CF"/>
    <w:rsid w:val="001C6B55"/>
    <w:rsid w:val="001C72F8"/>
    <w:rsid w:val="001D0A16"/>
    <w:rsid w:val="001D0A94"/>
    <w:rsid w:val="001D0BF4"/>
    <w:rsid w:val="001D1556"/>
    <w:rsid w:val="001D1893"/>
    <w:rsid w:val="001D1D92"/>
    <w:rsid w:val="001D218B"/>
    <w:rsid w:val="001D28BE"/>
    <w:rsid w:val="001D2C3D"/>
    <w:rsid w:val="001D2D90"/>
    <w:rsid w:val="001D5159"/>
    <w:rsid w:val="001D53AD"/>
    <w:rsid w:val="001D5A70"/>
    <w:rsid w:val="001D6051"/>
    <w:rsid w:val="001D6193"/>
    <w:rsid w:val="001D6600"/>
    <w:rsid w:val="001D7521"/>
    <w:rsid w:val="001D7609"/>
    <w:rsid w:val="001D78D7"/>
    <w:rsid w:val="001E1899"/>
    <w:rsid w:val="001E1E86"/>
    <w:rsid w:val="001E2E5A"/>
    <w:rsid w:val="001E4418"/>
    <w:rsid w:val="001E49CF"/>
    <w:rsid w:val="001E4CEB"/>
    <w:rsid w:val="001E51AC"/>
    <w:rsid w:val="001E6127"/>
    <w:rsid w:val="001E7774"/>
    <w:rsid w:val="001F01D7"/>
    <w:rsid w:val="001F0FBF"/>
    <w:rsid w:val="001F1142"/>
    <w:rsid w:val="001F3FF5"/>
    <w:rsid w:val="001F4C84"/>
    <w:rsid w:val="001F5CB9"/>
    <w:rsid w:val="001F7198"/>
    <w:rsid w:val="001F7343"/>
    <w:rsid w:val="001F75A5"/>
    <w:rsid w:val="00200F33"/>
    <w:rsid w:val="00201380"/>
    <w:rsid w:val="0020184E"/>
    <w:rsid w:val="00202698"/>
    <w:rsid w:val="0020270C"/>
    <w:rsid w:val="002041FC"/>
    <w:rsid w:val="0020584C"/>
    <w:rsid w:val="002058D0"/>
    <w:rsid w:val="00206294"/>
    <w:rsid w:val="0020660A"/>
    <w:rsid w:val="002116F9"/>
    <w:rsid w:val="00211AC5"/>
    <w:rsid w:val="00211F99"/>
    <w:rsid w:val="00212314"/>
    <w:rsid w:val="002131F3"/>
    <w:rsid w:val="00213A30"/>
    <w:rsid w:val="00213D2B"/>
    <w:rsid w:val="002140C6"/>
    <w:rsid w:val="002150D5"/>
    <w:rsid w:val="00216B27"/>
    <w:rsid w:val="0021704D"/>
    <w:rsid w:val="00220A1F"/>
    <w:rsid w:val="00221E81"/>
    <w:rsid w:val="002223A8"/>
    <w:rsid w:val="002225B3"/>
    <w:rsid w:val="00224F0D"/>
    <w:rsid w:val="00224FE1"/>
    <w:rsid w:val="00224FF7"/>
    <w:rsid w:val="00225A84"/>
    <w:rsid w:val="00225AE0"/>
    <w:rsid w:val="0022606C"/>
    <w:rsid w:val="00227E93"/>
    <w:rsid w:val="0023066E"/>
    <w:rsid w:val="00232280"/>
    <w:rsid w:val="00232AB1"/>
    <w:rsid w:val="00232C83"/>
    <w:rsid w:val="00233979"/>
    <w:rsid w:val="00234318"/>
    <w:rsid w:val="00234609"/>
    <w:rsid w:val="00237284"/>
    <w:rsid w:val="002377CB"/>
    <w:rsid w:val="002416EB"/>
    <w:rsid w:val="00241853"/>
    <w:rsid w:val="00241862"/>
    <w:rsid w:val="00242296"/>
    <w:rsid w:val="0024247E"/>
    <w:rsid w:val="002428E7"/>
    <w:rsid w:val="002461EA"/>
    <w:rsid w:val="00247B54"/>
    <w:rsid w:val="002505C4"/>
    <w:rsid w:val="00250A91"/>
    <w:rsid w:val="002522A6"/>
    <w:rsid w:val="002529CB"/>
    <w:rsid w:val="00252EE1"/>
    <w:rsid w:val="00253DAA"/>
    <w:rsid w:val="00254201"/>
    <w:rsid w:val="00254474"/>
    <w:rsid w:val="00255574"/>
    <w:rsid w:val="00260A48"/>
    <w:rsid w:val="002615C0"/>
    <w:rsid w:val="00262120"/>
    <w:rsid w:val="00262F13"/>
    <w:rsid w:val="00263048"/>
    <w:rsid w:val="00263AAB"/>
    <w:rsid w:val="00264D0F"/>
    <w:rsid w:val="0026620B"/>
    <w:rsid w:val="00266233"/>
    <w:rsid w:val="00266580"/>
    <w:rsid w:val="00266B7F"/>
    <w:rsid w:val="002677D9"/>
    <w:rsid w:val="00267B65"/>
    <w:rsid w:val="002700D8"/>
    <w:rsid w:val="00270D20"/>
    <w:rsid w:val="00271679"/>
    <w:rsid w:val="002718AA"/>
    <w:rsid w:val="00272812"/>
    <w:rsid w:val="00272E2A"/>
    <w:rsid w:val="00273B6F"/>
    <w:rsid w:val="0027414C"/>
    <w:rsid w:val="002744BC"/>
    <w:rsid w:val="002752DE"/>
    <w:rsid w:val="00275A49"/>
    <w:rsid w:val="00275DEB"/>
    <w:rsid w:val="00276A63"/>
    <w:rsid w:val="00276CF5"/>
    <w:rsid w:val="00276CFF"/>
    <w:rsid w:val="00280D49"/>
    <w:rsid w:val="0028225E"/>
    <w:rsid w:val="0028286A"/>
    <w:rsid w:val="00282B76"/>
    <w:rsid w:val="00282E47"/>
    <w:rsid w:val="00283831"/>
    <w:rsid w:val="00284B43"/>
    <w:rsid w:val="002863DB"/>
    <w:rsid w:val="002868E9"/>
    <w:rsid w:val="0028690B"/>
    <w:rsid w:val="002918AA"/>
    <w:rsid w:val="002923B2"/>
    <w:rsid w:val="00292536"/>
    <w:rsid w:val="00292617"/>
    <w:rsid w:val="00293540"/>
    <w:rsid w:val="00293F04"/>
    <w:rsid w:val="00293F2F"/>
    <w:rsid w:val="00294AF1"/>
    <w:rsid w:val="00295E2D"/>
    <w:rsid w:val="00296D95"/>
    <w:rsid w:val="002A248B"/>
    <w:rsid w:val="002A3391"/>
    <w:rsid w:val="002A3F93"/>
    <w:rsid w:val="002A6356"/>
    <w:rsid w:val="002A679B"/>
    <w:rsid w:val="002B0728"/>
    <w:rsid w:val="002B0C46"/>
    <w:rsid w:val="002B1377"/>
    <w:rsid w:val="002B1B2E"/>
    <w:rsid w:val="002B3174"/>
    <w:rsid w:val="002B3264"/>
    <w:rsid w:val="002B46E8"/>
    <w:rsid w:val="002B55AC"/>
    <w:rsid w:val="002B6032"/>
    <w:rsid w:val="002B609A"/>
    <w:rsid w:val="002B6490"/>
    <w:rsid w:val="002B74CB"/>
    <w:rsid w:val="002C128B"/>
    <w:rsid w:val="002C1980"/>
    <w:rsid w:val="002C1F0A"/>
    <w:rsid w:val="002C30D2"/>
    <w:rsid w:val="002C38EC"/>
    <w:rsid w:val="002C5365"/>
    <w:rsid w:val="002C59F0"/>
    <w:rsid w:val="002C6003"/>
    <w:rsid w:val="002C60C3"/>
    <w:rsid w:val="002C6C31"/>
    <w:rsid w:val="002C6CC4"/>
    <w:rsid w:val="002C7F1A"/>
    <w:rsid w:val="002D0C74"/>
    <w:rsid w:val="002D156D"/>
    <w:rsid w:val="002D1676"/>
    <w:rsid w:val="002D1A01"/>
    <w:rsid w:val="002D1ADE"/>
    <w:rsid w:val="002D23BE"/>
    <w:rsid w:val="002D43F7"/>
    <w:rsid w:val="002D44CA"/>
    <w:rsid w:val="002D5107"/>
    <w:rsid w:val="002D525B"/>
    <w:rsid w:val="002D5E14"/>
    <w:rsid w:val="002D6032"/>
    <w:rsid w:val="002D6C9E"/>
    <w:rsid w:val="002E07E3"/>
    <w:rsid w:val="002E2245"/>
    <w:rsid w:val="002E2627"/>
    <w:rsid w:val="002E51CF"/>
    <w:rsid w:val="002E5CA7"/>
    <w:rsid w:val="002E6334"/>
    <w:rsid w:val="002E68A5"/>
    <w:rsid w:val="002F00FB"/>
    <w:rsid w:val="002F086F"/>
    <w:rsid w:val="002F1037"/>
    <w:rsid w:val="002F1531"/>
    <w:rsid w:val="002F1587"/>
    <w:rsid w:val="002F1692"/>
    <w:rsid w:val="002F28E4"/>
    <w:rsid w:val="002F3621"/>
    <w:rsid w:val="002F3815"/>
    <w:rsid w:val="002F3A71"/>
    <w:rsid w:val="002F4549"/>
    <w:rsid w:val="002F6DC4"/>
    <w:rsid w:val="002F70AE"/>
    <w:rsid w:val="002F7273"/>
    <w:rsid w:val="002F7B42"/>
    <w:rsid w:val="00300336"/>
    <w:rsid w:val="00300447"/>
    <w:rsid w:val="003004C1"/>
    <w:rsid w:val="00302108"/>
    <w:rsid w:val="00302B5B"/>
    <w:rsid w:val="003035BF"/>
    <w:rsid w:val="0030387D"/>
    <w:rsid w:val="00304A27"/>
    <w:rsid w:val="00307CE4"/>
    <w:rsid w:val="00311666"/>
    <w:rsid w:val="0031218E"/>
    <w:rsid w:val="003124CA"/>
    <w:rsid w:val="00312DE7"/>
    <w:rsid w:val="00313E15"/>
    <w:rsid w:val="003146CA"/>
    <w:rsid w:val="003146F5"/>
    <w:rsid w:val="003153CF"/>
    <w:rsid w:val="00315BE9"/>
    <w:rsid w:val="00316155"/>
    <w:rsid w:val="003165FD"/>
    <w:rsid w:val="00317CD5"/>
    <w:rsid w:val="00320A76"/>
    <w:rsid w:val="0032117E"/>
    <w:rsid w:val="00321621"/>
    <w:rsid w:val="003233BF"/>
    <w:rsid w:val="00323C2B"/>
    <w:rsid w:val="00324E84"/>
    <w:rsid w:val="003270C2"/>
    <w:rsid w:val="00332784"/>
    <w:rsid w:val="00332AEC"/>
    <w:rsid w:val="00332ED7"/>
    <w:rsid w:val="0033546E"/>
    <w:rsid w:val="00336849"/>
    <w:rsid w:val="0033736E"/>
    <w:rsid w:val="00337BFC"/>
    <w:rsid w:val="00337FB5"/>
    <w:rsid w:val="00341788"/>
    <w:rsid w:val="00342585"/>
    <w:rsid w:val="00342855"/>
    <w:rsid w:val="003433BE"/>
    <w:rsid w:val="00345B5A"/>
    <w:rsid w:val="003467D8"/>
    <w:rsid w:val="003469B3"/>
    <w:rsid w:val="003476F7"/>
    <w:rsid w:val="00347C88"/>
    <w:rsid w:val="00350082"/>
    <w:rsid w:val="00350BCA"/>
    <w:rsid w:val="00352B23"/>
    <w:rsid w:val="00354DE6"/>
    <w:rsid w:val="0035588D"/>
    <w:rsid w:val="00356C96"/>
    <w:rsid w:val="00360406"/>
    <w:rsid w:val="00361669"/>
    <w:rsid w:val="00361676"/>
    <w:rsid w:val="0036191B"/>
    <w:rsid w:val="003634BE"/>
    <w:rsid w:val="00364736"/>
    <w:rsid w:val="0036480A"/>
    <w:rsid w:val="00364F8B"/>
    <w:rsid w:val="00365F60"/>
    <w:rsid w:val="00366184"/>
    <w:rsid w:val="00366522"/>
    <w:rsid w:val="00366B93"/>
    <w:rsid w:val="00372080"/>
    <w:rsid w:val="0037417A"/>
    <w:rsid w:val="00375052"/>
    <w:rsid w:val="00375664"/>
    <w:rsid w:val="00376D2A"/>
    <w:rsid w:val="00377B8C"/>
    <w:rsid w:val="00380D0D"/>
    <w:rsid w:val="00384846"/>
    <w:rsid w:val="0038550D"/>
    <w:rsid w:val="00386B78"/>
    <w:rsid w:val="00387745"/>
    <w:rsid w:val="00390176"/>
    <w:rsid w:val="00390887"/>
    <w:rsid w:val="00390C91"/>
    <w:rsid w:val="00391F87"/>
    <w:rsid w:val="003929F4"/>
    <w:rsid w:val="00393475"/>
    <w:rsid w:val="003938EC"/>
    <w:rsid w:val="00394DDC"/>
    <w:rsid w:val="003966DC"/>
    <w:rsid w:val="003973DB"/>
    <w:rsid w:val="00397667"/>
    <w:rsid w:val="003976FD"/>
    <w:rsid w:val="003A0795"/>
    <w:rsid w:val="003A124E"/>
    <w:rsid w:val="003A1EEB"/>
    <w:rsid w:val="003A2025"/>
    <w:rsid w:val="003A2B72"/>
    <w:rsid w:val="003A2DC7"/>
    <w:rsid w:val="003A33BA"/>
    <w:rsid w:val="003A4994"/>
    <w:rsid w:val="003A677D"/>
    <w:rsid w:val="003A69E3"/>
    <w:rsid w:val="003A77DB"/>
    <w:rsid w:val="003B235F"/>
    <w:rsid w:val="003B2950"/>
    <w:rsid w:val="003B29A1"/>
    <w:rsid w:val="003B3998"/>
    <w:rsid w:val="003B5FCE"/>
    <w:rsid w:val="003B6D47"/>
    <w:rsid w:val="003C0ABF"/>
    <w:rsid w:val="003C1B49"/>
    <w:rsid w:val="003C2D6C"/>
    <w:rsid w:val="003C3700"/>
    <w:rsid w:val="003C4330"/>
    <w:rsid w:val="003C443C"/>
    <w:rsid w:val="003C4E60"/>
    <w:rsid w:val="003C5881"/>
    <w:rsid w:val="003C6F29"/>
    <w:rsid w:val="003D0D93"/>
    <w:rsid w:val="003D2D9D"/>
    <w:rsid w:val="003D30BB"/>
    <w:rsid w:val="003D4895"/>
    <w:rsid w:val="003D539C"/>
    <w:rsid w:val="003D6B41"/>
    <w:rsid w:val="003E02A4"/>
    <w:rsid w:val="003E09A8"/>
    <w:rsid w:val="003E13F8"/>
    <w:rsid w:val="003E1804"/>
    <w:rsid w:val="003E1B3D"/>
    <w:rsid w:val="003E3665"/>
    <w:rsid w:val="003E3995"/>
    <w:rsid w:val="003E3DE9"/>
    <w:rsid w:val="003E4379"/>
    <w:rsid w:val="003E49F4"/>
    <w:rsid w:val="003F1923"/>
    <w:rsid w:val="003F1F96"/>
    <w:rsid w:val="003F2731"/>
    <w:rsid w:val="003F3689"/>
    <w:rsid w:val="003F3D0D"/>
    <w:rsid w:val="003F3EAF"/>
    <w:rsid w:val="003F46DC"/>
    <w:rsid w:val="003F5DED"/>
    <w:rsid w:val="003F63AB"/>
    <w:rsid w:val="003F6C43"/>
    <w:rsid w:val="003F7440"/>
    <w:rsid w:val="004005CA"/>
    <w:rsid w:val="00400C0C"/>
    <w:rsid w:val="00401176"/>
    <w:rsid w:val="004028DB"/>
    <w:rsid w:val="00402C60"/>
    <w:rsid w:val="00403079"/>
    <w:rsid w:val="00403399"/>
    <w:rsid w:val="0040344D"/>
    <w:rsid w:val="00404032"/>
    <w:rsid w:val="00404D22"/>
    <w:rsid w:val="00404D9A"/>
    <w:rsid w:val="004055FE"/>
    <w:rsid w:val="00405E3C"/>
    <w:rsid w:val="00407577"/>
    <w:rsid w:val="004102F1"/>
    <w:rsid w:val="00411BA7"/>
    <w:rsid w:val="00412AFF"/>
    <w:rsid w:val="004159B6"/>
    <w:rsid w:val="00416108"/>
    <w:rsid w:val="00416C11"/>
    <w:rsid w:val="00416CD7"/>
    <w:rsid w:val="00421F11"/>
    <w:rsid w:val="00423081"/>
    <w:rsid w:val="00423933"/>
    <w:rsid w:val="00424BDE"/>
    <w:rsid w:val="00425148"/>
    <w:rsid w:val="00427119"/>
    <w:rsid w:val="00431E31"/>
    <w:rsid w:val="00432FDD"/>
    <w:rsid w:val="004337E1"/>
    <w:rsid w:val="004344C8"/>
    <w:rsid w:val="00434AFB"/>
    <w:rsid w:val="00434D99"/>
    <w:rsid w:val="00435887"/>
    <w:rsid w:val="00435A8C"/>
    <w:rsid w:val="00435E33"/>
    <w:rsid w:val="00436159"/>
    <w:rsid w:val="00436B22"/>
    <w:rsid w:val="00436F25"/>
    <w:rsid w:val="00437AC7"/>
    <w:rsid w:val="00437BBC"/>
    <w:rsid w:val="00437DF1"/>
    <w:rsid w:val="00437F17"/>
    <w:rsid w:val="00441574"/>
    <w:rsid w:val="00443B2D"/>
    <w:rsid w:val="00443E0F"/>
    <w:rsid w:val="00443F16"/>
    <w:rsid w:val="00444B2E"/>
    <w:rsid w:val="00445A7E"/>
    <w:rsid w:val="00445AB8"/>
    <w:rsid w:val="004467F9"/>
    <w:rsid w:val="004477ED"/>
    <w:rsid w:val="00447F08"/>
    <w:rsid w:val="00450596"/>
    <w:rsid w:val="00452465"/>
    <w:rsid w:val="00452B51"/>
    <w:rsid w:val="00453C48"/>
    <w:rsid w:val="004541F7"/>
    <w:rsid w:val="0045522C"/>
    <w:rsid w:val="0046009E"/>
    <w:rsid w:val="00460439"/>
    <w:rsid w:val="0046129C"/>
    <w:rsid w:val="00461CA5"/>
    <w:rsid w:val="00461D67"/>
    <w:rsid w:val="00461F04"/>
    <w:rsid w:val="00462448"/>
    <w:rsid w:val="00462632"/>
    <w:rsid w:val="00462AFC"/>
    <w:rsid w:val="004634A3"/>
    <w:rsid w:val="004634CB"/>
    <w:rsid w:val="0046458D"/>
    <w:rsid w:val="00464A2E"/>
    <w:rsid w:val="00466064"/>
    <w:rsid w:val="00466A6C"/>
    <w:rsid w:val="00467DEE"/>
    <w:rsid w:val="00470562"/>
    <w:rsid w:val="00470688"/>
    <w:rsid w:val="00471A21"/>
    <w:rsid w:val="00475A22"/>
    <w:rsid w:val="00475E4C"/>
    <w:rsid w:val="004774F5"/>
    <w:rsid w:val="00477FE3"/>
    <w:rsid w:val="004801D9"/>
    <w:rsid w:val="00480B9D"/>
    <w:rsid w:val="004828C0"/>
    <w:rsid w:val="00482BA1"/>
    <w:rsid w:val="004831F2"/>
    <w:rsid w:val="00483423"/>
    <w:rsid w:val="004839C7"/>
    <w:rsid w:val="00483BC1"/>
    <w:rsid w:val="00483D6E"/>
    <w:rsid w:val="0048484E"/>
    <w:rsid w:val="004849ED"/>
    <w:rsid w:val="00484D0C"/>
    <w:rsid w:val="0048537F"/>
    <w:rsid w:val="00485B34"/>
    <w:rsid w:val="00485EE9"/>
    <w:rsid w:val="004871A0"/>
    <w:rsid w:val="00487D74"/>
    <w:rsid w:val="004903B9"/>
    <w:rsid w:val="004925DB"/>
    <w:rsid w:val="00493B64"/>
    <w:rsid w:val="0049547C"/>
    <w:rsid w:val="00496C05"/>
    <w:rsid w:val="004A0714"/>
    <w:rsid w:val="004A0737"/>
    <w:rsid w:val="004A1763"/>
    <w:rsid w:val="004A4D73"/>
    <w:rsid w:val="004A58D0"/>
    <w:rsid w:val="004A59B5"/>
    <w:rsid w:val="004A61C6"/>
    <w:rsid w:val="004A6637"/>
    <w:rsid w:val="004A7C6F"/>
    <w:rsid w:val="004B0CC3"/>
    <w:rsid w:val="004B22C0"/>
    <w:rsid w:val="004B2E26"/>
    <w:rsid w:val="004B565E"/>
    <w:rsid w:val="004B60F8"/>
    <w:rsid w:val="004B6C7E"/>
    <w:rsid w:val="004B7328"/>
    <w:rsid w:val="004B79B7"/>
    <w:rsid w:val="004B7C6D"/>
    <w:rsid w:val="004C0FFC"/>
    <w:rsid w:val="004C18FD"/>
    <w:rsid w:val="004C254A"/>
    <w:rsid w:val="004C3BD9"/>
    <w:rsid w:val="004C3BF7"/>
    <w:rsid w:val="004C5B8B"/>
    <w:rsid w:val="004C68BC"/>
    <w:rsid w:val="004C69CF"/>
    <w:rsid w:val="004C7473"/>
    <w:rsid w:val="004D1A90"/>
    <w:rsid w:val="004D1BDD"/>
    <w:rsid w:val="004D1CAF"/>
    <w:rsid w:val="004D263A"/>
    <w:rsid w:val="004D2B4D"/>
    <w:rsid w:val="004D2CAA"/>
    <w:rsid w:val="004D2E30"/>
    <w:rsid w:val="004D5F69"/>
    <w:rsid w:val="004D5FE9"/>
    <w:rsid w:val="004D6518"/>
    <w:rsid w:val="004D665B"/>
    <w:rsid w:val="004E1B85"/>
    <w:rsid w:val="004E1C67"/>
    <w:rsid w:val="004E3351"/>
    <w:rsid w:val="004E356E"/>
    <w:rsid w:val="004E3CFE"/>
    <w:rsid w:val="004E49B6"/>
    <w:rsid w:val="004E5252"/>
    <w:rsid w:val="004E544B"/>
    <w:rsid w:val="004E5656"/>
    <w:rsid w:val="004E5ABB"/>
    <w:rsid w:val="004E5D71"/>
    <w:rsid w:val="004E6911"/>
    <w:rsid w:val="004E6C3E"/>
    <w:rsid w:val="004E7535"/>
    <w:rsid w:val="004E79D3"/>
    <w:rsid w:val="004F05DB"/>
    <w:rsid w:val="004F0CE0"/>
    <w:rsid w:val="004F1B0B"/>
    <w:rsid w:val="004F3815"/>
    <w:rsid w:val="004F6565"/>
    <w:rsid w:val="004F65EE"/>
    <w:rsid w:val="004F7B9D"/>
    <w:rsid w:val="00501274"/>
    <w:rsid w:val="00501796"/>
    <w:rsid w:val="00502537"/>
    <w:rsid w:val="00502BB7"/>
    <w:rsid w:val="00503561"/>
    <w:rsid w:val="005037DE"/>
    <w:rsid w:val="00505775"/>
    <w:rsid w:val="0050627D"/>
    <w:rsid w:val="005070B1"/>
    <w:rsid w:val="00507153"/>
    <w:rsid w:val="005072FE"/>
    <w:rsid w:val="00507C8C"/>
    <w:rsid w:val="0051002B"/>
    <w:rsid w:val="00510BA3"/>
    <w:rsid w:val="00510F96"/>
    <w:rsid w:val="0051253A"/>
    <w:rsid w:val="00512899"/>
    <w:rsid w:val="00513249"/>
    <w:rsid w:val="00515641"/>
    <w:rsid w:val="00516164"/>
    <w:rsid w:val="005161E7"/>
    <w:rsid w:val="00516CC6"/>
    <w:rsid w:val="00516E23"/>
    <w:rsid w:val="005173C0"/>
    <w:rsid w:val="00517B55"/>
    <w:rsid w:val="00517E76"/>
    <w:rsid w:val="005201DC"/>
    <w:rsid w:val="00521042"/>
    <w:rsid w:val="005217BE"/>
    <w:rsid w:val="00521EFE"/>
    <w:rsid w:val="0052286E"/>
    <w:rsid w:val="00523164"/>
    <w:rsid w:val="005244E8"/>
    <w:rsid w:val="00524B2D"/>
    <w:rsid w:val="0052754F"/>
    <w:rsid w:val="005315DA"/>
    <w:rsid w:val="00531601"/>
    <w:rsid w:val="00531A29"/>
    <w:rsid w:val="005324AA"/>
    <w:rsid w:val="00532546"/>
    <w:rsid w:val="00532D15"/>
    <w:rsid w:val="00533953"/>
    <w:rsid w:val="00533D26"/>
    <w:rsid w:val="005345BC"/>
    <w:rsid w:val="005347B8"/>
    <w:rsid w:val="00534DAE"/>
    <w:rsid w:val="005363DA"/>
    <w:rsid w:val="005373BF"/>
    <w:rsid w:val="00537CC5"/>
    <w:rsid w:val="005409F1"/>
    <w:rsid w:val="00540B5C"/>
    <w:rsid w:val="0054156E"/>
    <w:rsid w:val="00541603"/>
    <w:rsid w:val="00542072"/>
    <w:rsid w:val="00542988"/>
    <w:rsid w:val="0054374A"/>
    <w:rsid w:val="00543E19"/>
    <w:rsid w:val="00545422"/>
    <w:rsid w:val="005457EF"/>
    <w:rsid w:val="00546A7C"/>
    <w:rsid w:val="0055263B"/>
    <w:rsid w:val="00552CD8"/>
    <w:rsid w:val="00553471"/>
    <w:rsid w:val="0055530A"/>
    <w:rsid w:val="00555846"/>
    <w:rsid w:val="005563D0"/>
    <w:rsid w:val="005570D2"/>
    <w:rsid w:val="005601E5"/>
    <w:rsid w:val="005606F3"/>
    <w:rsid w:val="00560ED5"/>
    <w:rsid w:val="00562045"/>
    <w:rsid w:val="00562EDD"/>
    <w:rsid w:val="005657B8"/>
    <w:rsid w:val="0056685A"/>
    <w:rsid w:val="005673FE"/>
    <w:rsid w:val="005675B2"/>
    <w:rsid w:val="00567942"/>
    <w:rsid w:val="00567A90"/>
    <w:rsid w:val="00571EED"/>
    <w:rsid w:val="005754D3"/>
    <w:rsid w:val="005768E8"/>
    <w:rsid w:val="00576A97"/>
    <w:rsid w:val="00576ECD"/>
    <w:rsid w:val="00577AE1"/>
    <w:rsid w:val="00580144"/>
    <w:rsid w:val="00581584"/>
    <w:rsid w:val="0058196A"/>
    <w:rsid w:val="00581CD3"/>
    <w:rsid w:val="00582B46"/>
    <w:rsid w:val="00583003"/>
    <w:rsid w:val="00584B7A"/>
    <w:rsid w:val="00584FCE"/>
    <w:rsid w:val="005856D8"/>
    <w:rsid w:val="005858AB"/>
    <w:rsid w:val="00586685"/>
    <w:rsid w:val="005911BC"/>
    <w:rsid w:val="00591957"/>
    <w:rsid w:val="00592A87"/>
    <w:rsid w:val="00595654"/>
    <w:rsid w:val="005974CB"/>
    <w:rsid w:val="00597B20"/>
    <w:rsid w:val="005A05B4"/>
    <w:rsid w:val="005A1427"/>
    <w:rsid w:val="005A1657"/>
    <w:rsid w:val="005A1870"/>
    <w:rsid w:val="005A297D"/>
    <w:rsid w:val="005A2C6D"/>
    <w:rsid w:val="005A45B7"/>
    <w:rsid w:val="005A5B05"/>
    <w:rsid w:val="005A6926"/>
    <w:rsid w:val="005B2C78"/>
    <w:rsid w:val="005B2D38"/>
    <w:rsid w:val="005B38A6"/>
    <w:rsid w:val="005B51AB"/>
    <w:rsid w:val="005B626F"/>
    <w:rsid w:val="005B711D"/>
    <w:rsid w:val="005B7FB9"/>
    <w:rsid w:val="005C0041"/>
    <w:rsid w:val="005C1393"/>
    <w:rsid w:val="005C269D"/>
    <w:rsid w:val="005C27A3"/>
    <w:rsid w:val="005C3645"/>
    <w:rsid w:val="005C3E18"/>
    <w:rsid w:val="005C445A"/>
    <w:rsid w:val="005C557B"/>
    <w:rsid w:val="005C5A81"/>
    <w:rsid w:val="005C5D59"/>
    <w:rsid w:val="005C6324"/>
    <w:rsid w:val="005C6ECF"/>
    <w:rsid w:val="005C6F83"/>
    <w:rsid w:val="005D1486"/>
    <w:rsid w:val="005D1875"/>
    <w:rsid w:val="005D1DCC"/>
    <w:rsid w:val="005D1F1F"/>
    <w:rsid w:val="005D30B4"/>
    <w:rsid w:val="005D3600"/>
    <w:rsid w:val="005D3F97"/>
    <w:rsid w:val="005D5333"/>
    <w:rsid w:val="005D7434"/>
    <w:rsid w:val="005D7B09"/>
    <w:rsid w:val="005E02EE"/>
    <w:rsid w:val="005E30B0"/>
    <w:rsid w:val="005E3580"/>
    <w:rsid w:val="005E4A73"/>
    <w:rsid w:val="005E51E6"/>
    <w:rsid w:val="005E5621"/>
    <w:rsid w:val="005E57FC"/>
    <w:rsid w:val="005E5BF9"/>
    <w:rsid w:val="005E5D20"/>
    <w:rsid w:val="005F00C8"/>
    <w:rsid w:val="005F2590"/>
    <w:rsid w:val="005F294A"/>
    <w:rsid w:val="005F29DD"/>
    <w:rsid w:val="005F77BA"/>
    <w:rsid w:val="0060080B"/>
    <w:rsid w:val="00600C86"/>
    <w:rsid w:val="00600ECA"/>
    <w:rsid w:val="006011F3"/>
    <w:rsid w:val="00601C66"/>
    <w:rsid w:val="00602487"/>
    <w:rsid w:val="00603177"/>
    <w:rsid w:val="006038F3"/>
    <w:rsid w:val="00604947"/>
    <w:rsid w:val="00604C1C"/>
    <w:rsid w:val="00610AF6"/>
    <w:rsid w:val="00610EE6"/>
    <w:rsid w:val="006114E9"/>
    <w:rsid w:val="00611EA6"/>
    <w:rsid w:val="00612758"/>
    <w:rsid w:val="00614280"/>
    <w:rsid w:val="006159E8"/>
    <w:rsid w:val="00615B8F"/>
    <w:rsid w:val="00615C67"/>
    <w:rsid w:val="00616AE6"/>
    <w:rsid w:val="00617BCD"/>
    <w:rsid w:val="0062076D"/>
    <w:rsid w:val="006208DE"/>
    <w:rsid w:val="00620E63"/>
    <w:rsid w:val="00620FFC"/>
    <w:rsid w:val="0062159C"/>
    <w:rsid w:val="006226E7"/>
    <w:rsid w:val="006228C5"/>
    <w:rsid w:val="0062291D"/>
    <w:rsid w:val="006234B2"/>
    <w:rsid w:val="006234F3"/>
    <w:rsid w:val="00623738"/>
    <w:rsid w:val="00624400"/>
    <w:rsid w:val="006254AE"/>
    <w:rsid w:val="0062603E"/>
    <w:rsid w:val="00626DB8"/>
    <w:rsid w:val="00626DD1"/>
    <w:rsid w:val="00630E70"/>
    <w:rsid w:val="006313FC"/>
    <w:rsid w:val="0063182A"/>
    <w:rsid w:val="00631ADF"/>
    <w:rsid w:val="00631D34"/>
    <w:rsid w:val="00632AF3"/>
    <w:rsid w:val="006346EA"/>
    <w:rsid w:val="00634D07"/>
    <w:rsid w:val="00635382"/>
    <w:rsid w:val="00636930"/>
    <w:rsid w:val="00636C84"/>
    <w:rsid w:val="00637F09"/>
    <w:rsid w:val="0064044B"/>
    <w:rsid w:val="006416FF"/>
    <w:rsid w:val="00641A5D"/>
    <w:rsid w:val="00641B8D"/>
    <w:rsid w:val="00642216"/>
    <w:rsid w:val="00642ACA"/>
    <w:rsid w:val="00643F10"/>
    <w:rsid w:val="006451C3"/>
    <w:rsid w:val="00645796"/>
    <w:rsid w:val="00650184"/>
    <w:rsid w:val="0065332B"/>
    <w:rsid w:val="00653392"/>
    <w:rsid w:val="00655134"/>
    <w:rsid w:val="00655C3F"/>
    <w:rsid w:val="00657377"/>
    <w:rsid w:val="0065771A"/>
    <w:rsid w:val="0066087A"/>
    <w:rsid w:val="0066167D"/>
    <w:rsid w:val="00661C52"/>
    <w:rsid w:val="00662718"/>
    <w:rsid w:val="00663ABF"/>
    <w:rsid w:val="00664B79"/>
    <w:rsid w:val="0066688B"/>
    <w:rsid w:val="00666B47"/>
    <w:rsid w:val="00667F8C"/>
    <w:rsid w:val="006700EB"/>
    <w:rsid w:val="006701EB"/>
    <w:rsid w:val="00671AF7"/>
    <w:rsid w:val="00673156"/>
    <w:rsid w:val="006739C5"/>
    <w:rsid w:val="00674112"/>
    <w:rsid w:val="00674D31"/>
    <w:rsid w:val="00675365"/>
    <w:rsid w:val="00675BAA"/>
    <w:rsid w:val="00675F41"/>
    <w:rsid w:val="00675F83"/>
    <w:rsid w:val="00676172"/>
    <w:rsid w:val="006770C2"/>
    <w:rsid w:val="006772F4"/>
    <w:rsid w:val="0068022F"/>
    <w:rsid w:val="00681263"/>
    <w:rsid w:val="00681B33"/>
    <w:rsid w:val="0068367A"/>
    <w:rsid w:val="00683F95"/>
    <w:rsid w:val="006850E0"/>
    <w:rsid w:val="0068563C"/>
    <w:rsid w:val="006858CB"/>
    <w:rsid w:val="0068591C"/>
    <w:rsid w:val="00686636"/>
    <w:rsid w:val="00686E51"/>
    <w:rsid w:val="006874AA"/>
    <w:rsid w:val="00687959"/>
    <w:rsid w:val="00687E1B"/>
    <w:rsid w:val="006906EC"/>
    <w:rsid w:val="006909F4"/>
    <w:rsid w:val="00690FD0"/>
    <w:rsid w:val="006916F5"/>
    <w:rsid w:val="00692088"/>
    <w:rsid w:val="00692093"/>
    <w:rsid w:val="006938E9"/>
    <w:rsid w:val="006943EF"/>
    <w:rsid w:val="00695446"/>
    <w:rsid w:val="00696B3A"/>
    <w:rsid w:val="00696DFA"/>
    <w:rsid w:val="006A0507"/>
    <w:rsid w:val="006A0632"/>
    <w:rsid w:val="006A0CDF"/>
    <w:rsid w:val="006A2C02"/>
    <w:rsid w:val="006A346C"/>
    <w:rsid w:val="006A3C92"/>
    <w:rsid w:val="006A3E1C"/>
    <w:rsid w:val="006A4C2A"/>
    <w:rsid w:val="006A5214"/>
    <w:rsid w:val="006A58EA"/>
    <w:rsid w:val="006A5D3B"/>
    <w:rsid w:val="006A6A5F"/>
    <w:rsid w:val="006A6E73"/>
    <w:rsid w:val="006A71DC"/>
    <w:rsid w:val="006B15A6"/>
    <w:rsid w:val="006B2BF1"/>
    <w:rsid w:val="006B3A78"/>
    <w:rsid w:val="006B4E52"/>
    <w:rsid w:val="006B520F"/>
    <w:rsid w:val="006B5CB3"/>
    <w:rsid w:val="006B65DA"/>
    <w:rsid w:val="006B669B"/>
    <w:rsid w:val="006B6C7B"/>
    <w:rsid w:val="006B6F83"/>
    <w:rsid w:val="006C08CA"/>
    <w:rsid w:val="006C1676"/>
    <w:rsid w:val="006C2C95"/>
    <w:rsid w:val="006C38EA"/>
    <w:rsid w:val="006C3DAF"/>
    <w:rsid w:val="006C4621"/>
    <w:rsid w:val="006C4C96"/>
    <w:rsid w:val="006C4FF0"/>
    <w:rsid w:val="006C5876"/>
    <w:rsid w:val="006C6D43"/>
    <w:rsid w:val="006C719A"/>
    <w:rsid w:val="006D031E"/>
    <w:rsid w:val="006D0707"/>
    <w:rsid w:val="006D077C"/>
    <w:rsid w:val="006D0B5D"/>
    <w:rsid w:val="006D2538"/>
    <w:rsid w:val="006D2996"/>
    <w:rsid w:val="006D2CD3"/>
    <w:rsid w:val="006D57E3"/>
    <w:rsid w:val="006D61D6"/>
    <w:rsid w:val="006D6AFB"/>
    <w:rsid w:val="006E2301"/>
    <w:rsid w:val="006E2BBD"/>
    <w:rsid w:val="006E4CA0"/>
    <w:rsid w:val="006E73A0"/>
    <w:rsid w:val="006E775B"/>
    <w:rsid w:val="006F2C57"/>
    <w:rsid w:val="006F2C82"/>
    <w:rsid w:val="006F42DC"/>
    <w:rsid w:val="006F4987"/>
    <w:rsid w:val="006F51C6"/>
    <w:rsid w:val="006F627A"/>
    <w:rsid w:val="006F697D"/>
    <w:rsid w:val="007000DE"/>
    <w:rsid w:val="00700FA2"/>
    <w:rsid w:val="00704A04"/>
    <w:rsid w:val="007051BD"/>
    <w:rsid w:val="00705BE1"/>
    <w:rsid w:val="0070602C"/>
    <w:rsid w:val="00706094"/>
    <w:rsid w:val="0070631C"/>
    <w:rsid w:val="007063EC"/>
    <w:rsid w:val="00706DEF"/>
    <w:rsid w:val="007073EB"/>
    <w:rsid w:val="00707449"/>
    <w:rsid w:val="00707B57"/>
    <w:rsid w:val="00711791"/>
    <w:rsid w:val="00711876"/>
    <w:rsid w:val="00712FE5"/>
    <w:rsid w:val="00714CE2"/>
    <w:rsid w:val="00715680"/>
    <w:rsid w:val="00716AC3"/>
    <w:rsid w:val="0071776C"/>
    <w:rsid w:val="00717D8E"/>
    <w:rsid w:val="0072212B"/>
    <w:rsid w:val="0072424B"/>
    <w:rsid w:val="00727547"/>
    <w:rsid w:val="00727B34"/>
    <w:rsid w:val="00731200"/>
    <w:rsid w:val="007328C6"/>
    <w:rsid w:val="00732EEC"/>
    <w:rsid w:val="007340AF"/>
    <w:rsid w:val="00734A22"/>
    <w:rsid w:val="00736343"/>
    <w:rsid w:val="0074081F"/>
    <w:rsid w:val="00740A4D"/>
    <w:rsid w:val="00743104"/>
    <w:rsid w:val="00743342"/>
    <w:rsid w:val="00744469"/>
    <w:rsid w:val="00744706"/>
    <w:rsid w:val="007461ED"/>
    <w:rsid w:val="00746559"/>
    <w:rsid w:val="007467DD"/>
    <w:rsid w:val="00746886"/>
    <w:rsid w:val="007469E0"/>
    <w:rsid w:val="00747967"/>
    <w:rsid w:val="00747D55"/>
    <w:rsid w:val="00750BDB"/>
    <w:rsid w:val="0075120F"/>
    <w:rsid w:val="00751E84"/>
    <w:rsid w:val="0075265E"/>
    <w:rsid w:val="0075271B"/>
    <w:rsid w:val="007530AB"/>
    <w:rsid w:val="0075340C"/>
    <w:rsid w:val="0075340D"/>
    <w:rsid w:val="00753953"/>
    <w:rsid w:val="00754A89"/>
    <w:rsid w:val="00754AB6"/>
    <w:rsid w:val="00756FC5"/>
    <w:rsid w:val="0075721E"/>
    <w:rsid w:val="007574E5"/>
    <w:rsid w:val="00757A5F"/>
    <w:rsid w:val="00757C0B"/>
    <w:rsid w:val="00761528"/>
    <w:rsid w:val="00762047"/>
    <w:rsid w:val="007621B0"/>
    <w:rsid w:val="007623B4"/>
    <w:rsid w:val="00763142"/>
    <w:rsid w:val="007635A0"/>
    <w:rsid w:val="00763BC2"/>
    <w:rsid w:val="00763D96"/>
    <w:rsid w:val="00765C6E"/>
    <w:rsid w:val="00766252"/>
    <w:rsid w:val="00766505"/>
    <w:rsid w:val="00766C87"/>
    <w:rsid w:val="00770236"/>
    <w:rsid w:val="0077057A"/>
    <w:rsid w:val="00770CD3"/>
    <w:rsid w:val="00771567"/>
    <w:rsid w:val="00771613"/>
    <w:rsid w:val="00773161"/>
    <w:rsid w:val="007742FC"/>
    <w:rsid w:val="00774FFE"/>
    <w:rsid w:val="00775901"/>
    <w:rsid w:val="0077646F"/>
    <w:rsid w:val="007768FC"/>
    <w:rsid w:val="00780852"/>
    <w:rsid w:val="00780F51"/>
    <w:rsid w:val="007819BA"/>
    <w:rsid w:val="007840B3"/>
    <w:rsid w:val="00785775"/>
    <w:rsid w:val="0078600E"/>
    <w:rsid w:val="007860D6"/>
    <w:rsid w:val="007861CC"/>
    <w:rsid w:val="0078635B"/>
    <w:rsid w:val="007869F9"/>
    <w:rsid w:val="00787F1B"/>
    <w:rsid w:val="00790C14"/>
    <w:rsid w:val="00790C49"/>
    <w:rsid w:val="0079133C"/>
    <w:rsid w:val="00792702"/>
    <w:rsid w:val="007933AA"/>
    <w:rsid w:val="007933F2"/>
    <w:rsid w:val="0079489F"/>
    <w:rsid w:val="007960A3"/>
    <w:rsid w:val="0079614B"/>
    <w:rsid w:val="00796404"/>
    <w:rsid w:val="00796B87"/>
    <w:rsid w:val="007973CD"/>
    <w:rsid w:val="007A1DB1"/>
    <w:rsid w:val="007A1E5C"/>
    <w:rsid w:val="007A1E65"/>
    <w:rsid w:val="007A2DB4"/>
    <w:rsid w:val="007A3CD0"/>
    <w:rsid w:val="007A42EF"/>
    <w:rsid w:val="007A4715"/>
    <w:rsid w:val="007A4C46"/>
    <w:rsid w:val="007A50D5"/>
    <w:rsid w:val="007A54F3"/>
    <w:rsid w:val="007A5872"/>
    <w:rsid w:val="007A7054"/>
    <w:rsid w:val="007B0511"/>
    <w:rsid w:val="007B0E72"/>
    <w:rsid w:val="007B0F92"/>
    <w:rsid w:val="007B2601"/>
    <w:rsid w:val="007B4BAB"/>
    <w:rsid w:val="007B55C2"/>
    <w:rsid w:val="007B588A"/>
    <w:rsid w:val="007B6835"/>
    <w:rsid w:val="007B7E4D"/>
    <w:rsid w:val="007C0C2D"/>
    <w:rsid w:val="007C1707"/>
    <w:rsid w:val="007C3CED"/>
    <w:rsid w:val="007C4033"/>
    <w:rsid w:val="007C453C"/>
    <w:rsid w:val="007C54D7"/>
    <w:rsid w:val="007C623C"/>
    <w:rsid w:val="007C64E9"/>
    <w:rsid w:val="007C7C86"/>
    <w:rsid w:val="007C7D6E"/>
    <w:rsid w:val="007D0CEF"/>
    <w:rsid w:val="007D26DC"/>
    <w:rsid w:val="007D31B6"/>
    <w:rsid w:val="007D3487"/>
    <w:rsid w:val="007D3AC4"/>
    <w:rsid w:val="007D424A"/>
    <w:rsid w:val="007D51F3"/>
    <w:rsid w:val="007D61FA"/>
    <w:rsid w:val="007D64B8"/>
    <w:rsid w:val="007D68EC"/>
    <w:rsid w:val="007D6B68"/>
    <w:rsid w:val="007D6CBC"/>
    <w:rsid w:val="007D7DF8"/>
    <w:rsid w:val="007E09A4"/>
    <w:rsid w:val="007E0BAF"/>
    <w:rsid w:val="007E1326"/>
    <w:rsid w:val="007E29B3"/>
    <w:rsid w:val="007E430D"/>
    <w:rsid w:val="007E446C"/>
    <w:rsid w:val="007E5659"/>
    <w:rsid w:val="007E5F46"/>
    <w:rsid w:val="007E76B2"/>
    <w:rsid w:val="007F03BC"/>
    <w:rsid w:val="007F0E1B"/>
    <w:rsid w:val="007F5642"/>
    <w:rsid w:val="007F72D9"/>
    <w:rsid w:val="007F7CBC"/>
    <w:rsid w:val="007F7F82"/>
    <w:rsid w:val="008009CA"/>
    <w:rsid w:val="00800B2C"/>
    <w:rsid w:val="00802CEF"/>
    <w:rsid w:val="00803918"/>
    <w:rsid w:val="00803C50"/>
    <w:rsid w:val="00804618"/>
    <w:rsid w:val="00804CFE"/>
    <w:rsid w:val="00805949"/>
    <w:rsid w:val="008065B3"/>
    <w:rsid w:val="00806D28"/>
    <w:rsid w:val="008102D4"/>
    <w:rsid w:val="00811194"/>
    <w:rsid w:val="0081151A"/>
    <w:rsid w:val="008118D3"/>
    <w:rsid w:val="00812A60"/>
    <w:rsid w:val="008137DB"/>
    <w:rsid w:val="008139A2"/>
    <w:rsid w:val="00813D91"/>
    <w:rsid w:val="008145C8"/>
    <w:rsid w:val="008171EE"/>
    <w:rsid w:val="00820DFF"/>
    <w:rsid w:val="00820EC1"/>
    <w:rsid w:val="00821004"/>
    <w:rsid w:val="00822946"/>
    <w:rsid w:val="00824EBB"/>
    <w:rsid w:val="00826946"/>
    <w:rsid w:val="00826CC8"/>
    <w:rsid w:val="00826F5B"/>
    <w:rsid w:val="00827898"/>
    <w:rsid w:val="00830D11"/>
    <w:rsid w:val="00830FD3"/>
    <w:rsid w:val="00831864"/>
    <w:rsid w:val="00833A80"/>
    <w:rsid w:val="00834329"/>
    <w:rsid w:val="00834EE6"/>
    <w:rsid w:val="00835762"/>
    <w:rsid w:val="00837786"/>
    <w:rsid w:val="00837A17"/>
    <w:rsid w:val="00837D4D"/>
    <w:rsid w:val="00840307"/>
    <w:rsid w:val="00840374"/>
    <w:rsid w:val="00842BC4"/>
    <w:rsid w:val="00842DF6"/>
    <w:rsid w:val="008432C8"/>
    <w:rsid w:val="00844267"/>
    <w:rsid w:val="00844F4E"/>
    <w:rsid w:val="00845DB1"/>
    <w:rsid w:val="00846558"/>
    <w:rsid w:val="0084671C"/>
    <w:rsid w:val="00847853"/>
    <w:rsid w:val="008478CD"/>
    <w:rsid w:val="00850991"/>
    <w:rsid w:val="00853F73"/>
    <w:rsid w:val="00857AC5"/>
    <w:rsid w:val="00857AE8"/>
    <w:rsid w:val="00857B5C"/>
    <w:rsid w:val="00857EDD"/>
    <w:rsid w:val="0086010C"/>
    <w:rsid w:val="0086189D"/>
    <w:rsid w:val="008631BE"/>
    <w:rsid w:val="0086570D"/>
    <w:rsid w:val="008673D4"/>
    <w:rsid w:val="00870518"/>
    <w:rsid w:val="0087266A"/>
    <w:rsid w:val="00872CDD"/>
    <w:rsid w:val="00873FF1"/>
    <w:rsid w:val="00874AC4"/>
    <w:rsid w:val="008758B1"/>
    <w:rsid w:val="0087644A"/>
    <w:rsid w:val="0087715A"/>
    <w:rsid w:val="008805F3"/>
    <w:rsid w:val="008807C9"/>
    <w:rsid w:val="0088128C"/>
    <w:rsid w:val="00882D2C"/>
    <w:rsid w:val="00883101"/>
    <w:rsid w:val="00883D8E"/>
    <w:rsid w:val="00884298"/>
    <w:rsid w:val="00885463"/>
    <w:rsid w:val="00885D4C"/>
    <w:rsid w:val="00887B3F"/>
    <w:rsid w:val="00887F5D"/>
    <w:rsid w:val="00891266"/>
    <w:rsid w:val="00891383"/>
    <w:rsid w:val="008963B5"/>
    <w:rsid w:val="008972AA"/>
    <w:rsid w:val="008972DD"/>
    <w:rsid w:val="008A21F4"/>
    <w:rsid w:val="008A2BF8"/>
    <w:rsid w:val="008A31AA"/>
    <w:rsid w:val="008A392C"/>
    <w:rsid w:val="008A42A0"/>
    <w:rsid w:val="008A4847"/>
    <w:rsid w:val="008A550B"/>
    <w:rsid w:val="008A6B65"/>
    <w:rsid w:val="008A734B"/>
    <w:rsid w:val="008B0746"/>
    <w:rsid w:val="008B19A6"/>
    <w:rsid w:val="008B1FFD"/>
    <w:rsid w:val="008B2C69"/>
    <w:rsid w:val="008B6552"/>
    <w:rsid w:val="008B7BBB"/>
    <w:rsid w:val="008C0258"/>
    <w:rsid w:val="008C1418"/>
    <w:rsid w:val="008C185D"/>
    <w:rsid w:val="008C1EE1"/>
    <w:rsid w:val="008C20C1"/>
    <w:rsid w:val="008C3494"/>
    <w:rsid w:val="008C3B5E"/>
    <w:rsid w:val="008C4DF6"/>
    <w:rsid w:val="008C5331"/>
    <w:rsid w:val="008C6CD3"/>
    <w:rsid w:val="008C79F2"/>
    <w:rsid w:val="008D08B0"/>
    <w:rsid w:val="008D1832"/>
    <w:rsid w:val="008D3896"/>
    <w:rsid w:val="008D3A98"/>
    <w:rsid w:val="008D4899"/>
    <w:rsid w:val="008D4DC0"/>
    <w:rsid w:val="008D50D8"/>
    <w:rsid w:val="008D6375"/>
    <w:rsid w:val="008D6551"/>
    <w:rsid w:val="008D79E8"/>
    <w:rsid w:val="008E1980"/>
    <w:rsid w:val="008E453F"/>
    <w:rsid w:val="008E4F1D"/>
    <w:rsid w:val="008E5577"/>
    <w:rsid w:val="008E603D"/>
    <w:rsid w:val="008E6C34"/>
    <w:rsid w:val="008E6CE8"/>
    <w:rsid w:val="008E7F5B"/>
    <w:rsid w:val="008F169C"/>
    <w:rsid w:val="008F1746"/>
    <w:rsid w:val="008F25B5"/>
    <w:rsid w:val="008F2AE3"/>
    <w:rsid w:val="008F365E"/>
    <w:rsid w:val="008F51F2"/>
    <w:rsid w:val="008F60E6"/>
    <w:rsid w:val="008F72EF"/>
    <w:rsid w:val="00900BE7"/>
    <w:rsid w:val="0090149D"/>
    <w:rsid w:val="00901DD9"/>
    <w:rsid w:val="00901EBD"/>
    <w:rsid w:val="009047B1"/>
    <w:rsid w:val="00904D9E"/>
    <w:rsid w:val="00904F1C"/>
    <w:rsid w:val="009057FD"/>
    <w:rsid w:val="00906F3E"/>
    <w:rsid w:val="00907BB4"/>
    <w:rsid w:val="00907EF9"/>
    <w:rsid w:val="009107D9"/>
    <w:rsid w:val="0091187D"/>
    <w:rsid w:val="00912537"/>
    <w:rsid w:val="00912E2B"/>
    <w:rsid w:val="00912F68"/>
    <w:rsid w:val="00913365"/>
    <w:rsid w:val="00915D5D"/>
    <w:rsid w:val="00916076"/>
    <w:rsid w:val="00916173"/>
    <w:rsid w:val="00916BDF"/>
    <w:rsid w:val="0091716E"/>
    <w:rsid w:val="009175F6"/>
    <w:rsid w:val="009177A4"/>
    <w:rsid w:val="009200A0"/>
    <w:rsid w:val="009222B4"/>
    <w:rsid w:val="00922B1F"/>
    <w:rsid w:val="00922D6D"/>
    <w:rsid w:val="009230FE"/>
    <w:rsid w:val="009236C9"/>
    <w:rsid w:val="009241DF"/>
    <w:rsid w:val="00924261"/>
    <w:rsid w:val="0092455B"/>
    <w:rsid w:val="009260F2"/>
    <w:rsid w:val="00927620"/>
    <w:rsid w:val="0093054F"/>
    <w:rsid w:val="00930588"/>
    <w:rsid w:val="00931440"/>
    <w:rsid w:val="009319D7"/>
    <w:rsid w:val="00931F5B"/>
    <w:rsid w:val="009334BC"/>
    <w:rsid w:val="00935CE3"/>
    <w:rsid w:val="009361D4"/>
    <w:rsid w:val="00936846"/>
    <w:rsid w:val="00936BE4"/>
    <w:rsid w:val="0093756C"/>
    <w:rsid w:val="00937607"/>
    <w:rsid w:val="009378B6"/>
    <w:rsid w:val="00943E8A"/>
    <w:rsid w:val="00945D28"/>
    <w:rsid w:val="00947002"/>
    <w:rsid w:val="0095006E"/>
    <w:rsid w:val="00951451"/>
    <w:rsid w:val="00951AA1"/>
    <w:rsid w:val="00952B89"/>
    <w:rsid w:val="009535F7"/>
    <w:rsid w:val="00953F0F"/>
    <w:rsid w:val="00954ECE"/>
    <w:rsid w:val="00955AE8"/>
    <w:rsid w:val="00956697"/>
    <w:rsid w:val="009566D2"/>
    <w:rsid w:val="009617CA"/>
    <w:rsid w:val="00961CAE"/>
    <w:rsid w:val="00962C40"/>
    <w:rsid w:val="009636D0"/>
    <w:rsid w:val="00963796"/>
    <w:rsid w:val="009638EA"/>
    <w:rsid w:val="00963949"/>
    <w:rsid w:val="009643AF"/>
    <w:rsid w:val="00967B01"/>
    <w:rsid w:val="009718AD"/>
    <w:rsid w:val="00971E30"/>
    <w:rsid w:val="00972170"/>
    <w:rsid w:val="0097262B"/>
    <w:rsid w:val="009726CE"/>
    <w:rsid w:val="00972BA2"/>
    <w:rsid w:val="009745DF"/>
    <w:rsid w:val="00974808"/>
    <w:rsid w:val="009749F0"/>
    <w:rsid w:val="00974E2C"/>
    <w:rsid w:val="00974F8E"/>
    <w:rsid w:val="009756C6"/>
    <w:rsid w:val="00976BB4"/>
    <w:rsid w:val="00977334"/>
    <w:rsid w:val="00980F6E"/>
    <w:rsid w:val="009813A8"/>
    <w:rsid w:val="00981F0C"/>
    <w:rsid w:val="00982E5F"/>
    <w:rsid w:val="00983299"/>
    <w:rsid w:val="00983862"/>
    <w:rsid w:val="00983E39"/>
    <w:rsid w:val="009856B3"/>
    <w:rsid w:val="009859BA"/>
    <w:rsid w:val="009860EE"/>
    <w:rsid w:val="009869D6"/>
    <w:rsid w:val="00987900"/>
    <w:rsid w:val="00987D68"/>
    <w:rsid w:val="0099009D"/>
    <w:rsid w:val="00990498"/>
    <w:rsid w:val="00991284"/>
    <w:rsid w:val="009916C3"/>
    <w:rsid w:val="00991A79"/>
    <w:rsid w:val="00994109"/>
    <w:rsid w:val="00995F6C"/>
    <w:rsid w:val="00996893"/>
    <w:rsid w:val="00996FAF"/>
    <w:rsid w:val="00997555"/>
    <w:rsid w:val="00997A45"/>
    <w:rsid w:val="009A0181"/>
    <w:rsid w:val="009A084D"/>
    <w:rsid w:val="009A09A1"/>
    <w:rsid w:val="009A252D"/>
    <w:rsid w:val="009A28EB"/>
    <w:rsid w:val="009A2F6E"/>
    <w:rsid w:val="009A3345"/>
    <w:rsid w:val="009A38DF"/>
    <w:rsid w:val="009A46F1"/>
    <w:rsid w:val="009A4A13"/>
    <w:rsid w:val="009A4E24"/>
    <w:rsid w:val="009A5073"/>
    <w:rsid w:val="009A52ED"/>
    <w:rsid w:val="009A62C9"/>
    <w:rsid w:val="009A7E86"/>
    <w:rsid w:val="009A7F90"/>
    <w:rsid w:val="009B0276"/>
    <w:rsid w:val="009B1378"/>
    <w:rsid w:val="009B1434"/>
    <w:rsid w:val="009B1943"/>
    <w:rsid w:val="009B3707"/>
    <w:rsid w:val="009B37AF"/>
    <w:rsid w:val="009B47C5"/>
    <w:rsid w:val="009B49CF"/>
    <w:rsid w:val="009B4D5E"/>
    <w:rsid w:val="009B4E55"/>
    <w:rsid w:val="009B54E8"/>
    <w:rsid w:val="009B5B50"/>
    <w:rsid w:val="009B62F7"/>
    <w:rsid w:val="009B6E29"/>
    <w:rsid w:val="009B7549"/>
    <w:rsid w:val="009C07CF"/>
    <w:rsid w:val="009C09F5"/>
    <w:rsid w:val="009C0BEB"/>
    <w:rsid w:val="009C10B8"/>
    <w:rsid w:val="009C1C78"/>
    <w:rsid w:val="009C29A4"/>
    <w:rsid w:val="009C2C9D"/>
    <w:rsid w:val="009C338F"/>
    <w:rsid w:val="009C4790"/>
    <w:rsid w:val="009C483B"/>
    <w:rsid w:val="009C51B6"/>
    <w:rsid w:val="009C51D9"/>
    <w:rsid w:val="009C5297"/>
    <w:rsid w:val="009C5AD4"/>
    <w:rsid w:val="009C602D"/>
    <w:rsid w:val="009C7757"/>
    <w:rsid w:val="009D2409"/>
    <w:rsid w:val="009D25FC"/>
    <w:rsid w:val="009D265A"/>
    <w:rsid w:val="009D3063"/>
    <w:rsid w:val="009D3FF5"/>
    <w:rsid w:val="009D5163"/>
    <w:rsid w:val="009D5245"/>
    <w:rsid w:val="009D59CD"/>
    <w:rsid w:val="009D5C5F"/>
    <w:rsid w:val="009D61A4"/>
    <w:rsid w:val="009D73CA"/>
    <w:rsid w:val="009D74CA"/>
    <w:rsid w:val="009D7A2F"/>
    <w:rsid w:val="009D7AAC"/>
    <w:rsid w:val="009E120C"/>
    <w:rsid w:val="009E3660"/>
    <w:rsid w:val="009E38F8"/>
    <w:rsid w:val="009E3E25"/>
    <w:rsid w:val="009E4C31"/>
    <w:rsid w:val="009E5497"/>
    <w:rsid w:val="009E6252"/>
    <w:rsid w:val="009E669C"/>
    <w:rsid w:val="009E6BB5"/>
    <w:rsid w:val="009F022A"/>
    <w:rsid w:val="009F0703"/>
    <w:rsid w:val="009F2345"/>
    <w:rsid w:val="009F3212"/>
    <w:rsid w:val="009F3B56"/>
    <w:rsid w:val="009F5312"/>
    <w:rsid w:val="009F58C7"/>
    <w:rsid w:val="009F6392"/>
    <w:rsid w:val="009F747E"/>
    <w:rsid w:val="009F7667"/>
    <w:rsid w:val="009F767D"/>
    <w:rsid w:val="009F7B20"/>
    <w:rsid w:val="00A005FD"/>
    <w:rsid w:val="00A01DB3"/>
    <w:rsid w:val="00A02734"/>
    <w:rsid w:val="00A02B22"/>
    <w:rsid w:val="00A06452"/>
    <w:rsid w:val="00A075AB"/>
    <w:rsid w:val="00A07A06"/>
    <w:rsid w:val="00A07C66"/>
    <w:rsid w:val="00A1125E"/>
    <w:rsid w:val="00A1156E"/>
    <w:rsid w:val="00A115E4"/>
    <w:rsid w:val="00A1335F"/>
    <w:rsid w:val="00A1417E"/>
    <w:rsid w:val="00A144CE"/>
    <w:rsid w:val="00A15835"/>
    <w:rsid w:val="00A16E2B"/>
    <w:rsid w:val="00A1768D"/>
    <w:rsid w:val="00A17ADE"/>
    <w:rsid w:val="00A200AC"/>
    <w:rsid w:val="00A20B16"/>
    <w:rsid w:val="00A20E53"/>
    <w:rsid w:val="00A21CE8"/>
    <w:rsid w:val="00A21E6B"/>
    <w:rsid w:val="00A22EE3"/>
    <w:rsid w:val="00A23AF2"/>
    <w:rsid w:val="00A24A0D"/>
    <w:rsid w:val="00A2667F"/>
    <w:rsid w:val="00A269DF"/>
    <w:rsid w:val="00A26D8C"/>
    <w:rsid w:val="00A274C6"/>
    <w:rsid w:val="00A27854"/>
    <w:rsid w:val="00A30641"/>
    <w:rsid w:val="00A308C2"/>
    <w:rsid w:val="00A30A5F"/>
    <w:rsid w:val="00A31707"/>
    <w:rsid w:val="00A3212A"/>
    <w:rsid w:val="00A328E1"/>
    <w:rsid w:val="00A3505F"/>
    <w:rsid w:val="00A35373"/>
    <w:rsid w:val="00A36434"/>
    <w:rsid w:val="00A364CE"/>
    <w:rsid w:val="00A36E4D"/>
    <w:rsid w:val="00A407F4"/>
    <w:rsid w:val="00A41657"/>
    <w:rsid w:val="00A4259C"/>
    <w:rsid w:val="00A42DB4"/>
    <w:rsid w:val="00A42DF0"/>
    <w:rsid w:val="00A434C2"/>
    <w:rsid w:val="00A43CD1"/>
    <w:rsid w:val="00A43D97"/>
    <w:rsid w:val="00A440B0"/>
    <w:rsid w:val="00A44147"/>
    <w:rsid w:val="00A443A1"/>
    <w:rsid w:val="00A455C9"/>
    <w:rsid w:val="00A457A5"/>
    <w:rsid w:val="00A46075"/>
    <w:rsid w:val="00A476FD"/>
    <w:rsid w:val="00A47B8D"/>
    <w:rsid w:val="00A503CA"/>
    <w:rsid w:val="00A50D97"/>
    <w:rsid w:val="00A50E11"/>
    <w:rsid w:val="00A5155D"/>
    <w:rsid w:val="00A51C6C"/>
    <w:rsid w:val="00A52168"/>
    <w:rsid w:val="00A52B48"/>
    <w:rsid w:val="00A53433"/>
    <w:rsid w:val="00A53886"/>
    <w:rsid w:val="00A538AD"/>
    <w:rsid w:val="00A55F07"/>
    <w:rsid w:val="00A5623B"/>
    <w:rsid w:val="00A60AD8"/>
    <w:rsid w:val="00A638BD"/>
    <w:rsid w:val="00A6404D"/>
    <w:rsid w:val="00A6424E"/>
    <w:rsid w:val="00A64892"/>
    <w:rsid w:val="00A65C0D"/>
    <w:rsid w:val="00A67134"/>
    <w:rsid w:val="00A675AB"/>
    <w:rsid w:val="00A7200C"/>
    <w:rsid w:val="00A7363F"/>
    <w:rsid w:val="00A737AC"/>
    <w:rsid w:val="00A7441E"/>
    <w:rsid w:val="00A7497E"/>
    <w:rsid w:val="00A74A01"/>
    <w:rsid w:val="00A75965"/>
    <w:rsid w:val="00A75B3A"/>
    <w:rsid w:val="00A75C14"/>
    <w:rsid w:val="00A76126"/>
    <w:rsid w:val="00A774B9"/>
    <w:rsid w:val="00A77BDC"/>
    <w:rsid w:val="00A81011"/>
    <w:rsid w:val="00A81BDB"/>
    <w:rsid w:val="00A8240F"/>
    <w:rsid w:val="00A824F2"/>
    <w:rsid w:val="00A8390F"/>
    <w:rsid w:val="00A8665A"/>
    <w:rsid w:val="00A9039D"/>
    <w:rsid w:val="00A9192F"/>
    <w:rsid w:val="00A920CF"/>
    <w:rsid w:val="00A92309"/>
    <w:rsid w:val="00A9321F"/>
    <w:rsid w:val="00A949C4"/>
    <w:rsid w:val="00A94A9A"/>
    <w:rsid w:val="00A94EC0"/>
    <w:rsid w:val="00A95FCF"/>
    <w:rsid w:val="00A96CE6"/>
    <w:rsid w:val="00A97A9C"/>
    <w:rsid w:val="00AA2C1C"/>
    <w:rsid w:val="00AA2E99"/>
    <w:rsid w:val="00AA3719"/>
    <w:rsid w:val="00AA442A"/>
    <w:rsid w:val="00AA58AA"/>
    <w:rsid w:val="00AA5D02"/>
    <w:rsid w:val="00AA7342"/>
    <w:rsid w:val="00AB0C0D"/>
    <w:rsid w:val="00AB143F"/>
    <w:rsid w:val="00AB1765"/>
    <w:rsid w:val="00AB3C4B"/>
    <w:rsid w:val="00AB4D65"/>
    <w:rsid w:val="00AB50E5"/>
    <w:rsid w:val="00AB5DAF"/>
    <w:rsid w:val="00AB69CC"/>
    <w:rsid w:val="00AC06C9"/>
    <w:rsid w:val="00AC17AE"/>
    <w:rsid w:val="00AC1907"/>
    <w:rsid w:val="00AC1BF5"/>
    <w:rsid w:val="00AC1EC5"/>
    <w:rsid w:val="00AC30DB"/>
    <w:rsid w:val="00AC44E8"/>
    <w:rsid w:val="00AC47F6"/>
    <w:rsid w:val="00AC4BA0"/>
    <w:rsid w:val="00AC5992"/>
    <w:rsid w:val="00AC5D1E"/>
    <w:rsid w:val="00AC68D7"/>
    <w:rsid w:val="00AC68F1"/>
    <w:rsid w:val="00AC6EA6"/>
    <w:rsid w:val="00AD01AD"/>
    <w:rsid w:val="00AD18F1"/>
    <w:rsid w:val="00AD38BC"/>
    <w:rsid w:val="00AD3CA0"/>
    <w:rsid w:val="00AD3FD5"/>
    <w:rsid w:val="00AD68BE"/>
    <w:rsid w:val="00AD6D80"/>
    <w:rsid w:val="00AD76B8"/>
    <w:rsid w:val="00AE0450"/>
    <w:rsid w:val="00AE04B5"/>
    <w:rsid w:val="00AE16A1"/>
    <w:rsid w:val="00AE3676"/>
    <w:rsid w:val="00AE5210"/>
    <w:rsid w:val="00AE6275"/>
    <w:rsid w:val="00AE66AE"/>
    <w:rsid w:val="00AE66FE"/>
    <w:rsid w:val="00AF1F1E"/>
    <w:rsid w:val="00AF2799"/>
    <w:rsid w:val="00AF27DE"/>
    <w:rsid w:val="00AF2AE6"/>
    <w:rsid w:val="00AF3767"/>
    <w:rsid w:val="00AF3E60"/>
    <w:rsid w:val="00AF4054"/>
    <w:rsid w:val="00AF43C2"/>
    <w:rsid w:val="00AF5AD2"/>
    <w:rsid w:val="00AF603B"/>
    <w:rsid w:val="00AF6D1E"/>
    <w:rsid w:val="00AF7570"/>
    <w:rsid w:val="00AF7A7B"/>
    <w:rsid w:val="00B00104"/>
    <w:rsid w:val="00B0105D"/>
    <w:rsid w:val="00B01B54"/>
    <w:rsid w:val="00B049B6"/>
    <w:rsid w:val="00B0504E"/>
    <w:rsid w:val="00B061E6"/>
    <w:rsid w:val="00B066AC"/>
    <w:rsid w:val="00B10074"/>
    <w:rsid w:val="00B102A7"/>
    <w:rsid w:val="00B1050A"/>
    <w:rsid w:val="00B1286B"/>
    <w:rsid w:val="00B12BE0"/>
    <w:rsid w:val="00B12E82"/>
    <w:rsid w:val="00B146D9"/>
    <w:rsid w:val="00B14CF0"/>
    <w:rsid w:val="00B15659"/>
    <w:rsid w:val="00B15CC9"/>
    <w:rsid w:val="00B165A3"/>
    <w:rsid w:val="00B165FB"/>
    <w:rsid w:val="00B168BF"/>
    <w:rsid w:val="00B179DF"/>
    <w:rsid w:val="00B20785"/>
    <w:rsid w:val="00B20EF3"/>
    <w:rsid w:val="00B21386"/>
    <w:rsid w:val="00B218BD"/>
    <w:rsid w:val="00B238CF"/>
    <w:rsid w:val="00B23B83"/>
    <w:rsid w:val="00B2597D"/>
    <w:rsid w:val="00B25A74"/>
    <w:rsid w:val="00B267F5"/>
    <w:rsid w:val="00B27125"/>
    <w:rsid w:val="00B27D08"/>
    <w:rsid w:val="00B31284"/>
    <w:rsid w:val="00B31360"/>
    <w:rsid w:val="00B320C6"/>
    <w:rsid w:val="00B326E2"/>
    <w:rsid w:val="00B32D95"/>
    <w:rsid w:val="00B34BE3"/>
    <w:rsid w:val="00B34E04"/>
    <w:rsid w:val="00B3678B"/>
    <w:rsid w:val="00B368D1"/>
    <w:rsid w:val="00B40A3D"/>
    <w:rsid w:val="00B41689"/>
    <w:rsid w:val="00B42A33"/>
    <w:rsid w:val="00B439BC"/>
    <w:rsid w:val="00B43FA1"/>
    <w:rsid w:val="00B44BA9"/>
    <w:rsid w:val="00B4568F"/>
    <w:rsid w:val="00B468DC"/>
    <w:rsid w:val="00B46BAE"/>
    <w:rsid w:val="00B46C19"/>
    <w:rsid w:val="00B47263"/>
    <w:rsid w:val="00B477FB"/>
    <w:rsid w:val="00B47EE1"/>
    <w:rsid w:val="00B5073C"/>
    <w:rsid w:val="00B51DF2"/>
    <w:rsid w:val="00B51E84"/>
    <w:rsid w:val="00B53BFD"/>
    <w:rsid w:val="00B56735"/>
    <w:rsid w:val="00B56EAA"/>
    <w:rsid w:val="00B57293"/>
    <w:rsid w:val="00B601C5"/>
    <w:rsid w:val="00B607E1"/>
    <w:rsid w:val="00B60A61"/>
    <w:rsid w:val="00B6108D"/>
    <w:rsid w:val="00B62862"/>
    <w:rsid w:val="00B62928"/>
    <w:rsid w:val="00B62D48"/>
    <w:rsid w:val="00B63B81"/>
    <w:rsid w:val="00B63C55"/>
    <w:rsid w:val="00B64536"/>
    <w:rsid w:val="00B645AB"/>
    <w:rsid w:val="00B647B1"/>
    <w:rsid w:val="00B64EA7"/>
    <w:rsid w:val="00B64F48"/>
    <w:rsid w:val="00B65533"/>
    <w:rsid w:val="00B6555B"/>
    <w:rsid w:val="00B67D92"/>
    <w:rsid w:val="00B70849"/>
    <w:rsid w:val="00B730B4"/>
    <w:rsid w:val="00B73D72"/>
    <w:rsid w:val="00B74063"/>
    <w:rsid w:val="00B74EE3"/>
    <w:rsid w:val="00B755F6"/>
    <w:rsid w:val="00B75952"/>
    <w:rsid w:val="00B7658F"/>
    <w:rsid w:val="00B772B1"/>
    <w:rsid w:val="00B77F8D"/>
    <w:rsid w:val="00B81A5A"/>
    <w:rsid w:val="00B82539"/>
    <w:rsid w:val="00B827D8"/>
    <w:rsid w:val="00B84559"/>
    <w:rsid w:val="00B8459C"/>
    <w:rsid w:val="00B84B8C"/>
    <w:rsid w:val="00B85835"/>
    <w:rsid w:val="00B85FAF"/>
    <w:rsid w:val="00B86B8F"/>
    <w:rsid w:val="00B87FE9"/>
    <w:rsid w:val="00B90390"/>
    <w:rsid w:val="00B9085E"/>
    <w:rsid w:val="00B90F06"/>
    <w:rsid w:val="00B90FB3"/>
    <w:rsid w:val="00B95292"/>
    <w:rsid w:val="00B95CB7"/>
    <w:rsid w:val="00B975EB"/>
    <w:rsid w:val="00BA01DF"/>
    <w:rsid w:val="00BA04EC"/>
    <w:rsid w:val="00BA0E7E"/>
    <w:rsid w:val="00BA1CAA"/>
    <w:rsid w:val="00BA44F3"/>
    <w:rsid w:val="00BA4CEA"/>
    <w:rsid w:val="00BA4DC3"/>
    <w:rsid w:val="00BA5AD2"/>
    <w:rsid w:val="00BA646D"/>
    <w:rsid w:val="00BA72B3"/>
    <w:rsid w:val="00BB0A8C"/>
    <w:rsid w:val="00BB1747"/>
    <w:rsid w:val="00BB18AA"/>
    <w:rsid w:val="00BB36E2"/>
    <w:rsid w:val="00BB3CFA"/>
    <w:rsid w:val="00BB3F75"/>
    <w:rsid w:val="00BB446A"/>
    <w:rsid w:val="00BB5517"/>
    <w:rsid w:val="00BB5BC7"/>
    <w:rsid w:val="00BB5C89"/>
    <w:rsid w:val="00BB6A78"/>
    <w:rsid w:val="00BC039E"/>
    <w:rsid w:val="00BC0CF8"/>
    <w:rsid w:val="00BC0EF0"/>
    <w:rsid w:val="00BC17E4"/>
    <w:rsid w:val="00BC1FEC"/>
    <w:rsid w:val="00BC4CCC"/>
    <w:rsid w:val="00BC5663"/>
    <w:rsid w:val="00BC5764"/>
    <w:rsid w:val="00BC607F"/>
    <w:rsid w:val="00BD045F"/>
    <w:rsid w:val="00BD1BC7"/>
    <w:rsid w:val="00BD3BAF"/>
    <w:rsid w:val="00BD3EA8"/>
    <w:rsid w:val="00BD458F"/>
    <w:rsid w:val="00BD4D25"/>
    <w:rsid w:val="00BD5C5C"/>
    <w:rsid w:val="00BD6801"/>
    <w:rsid w:val="00BD6AC9"/>
    <w:rsid w:val="00BD707B"/>
    <w:rsid w:val="00BD7196"/>
    <w:rsid w:val="00BD7286"/>
    <w:rsid w:val="00BD75E2"/>
    <w:rsid w:val="00BE0A2C"/>
    <w:rsid w:val="00BE1A54"/>
    <w:rsid w:val="00BE1B44"/>
    <w:rsid w:val="00BE1B72"/>
    <w:rsid w:val="00BE2D93"/>
    <w:rsid w:val="00BE337F"/>
    <w:rsid w:val="00BE4827"/>
    <w:rsid w:val="00BE6B70"/>
    <w:rsid w:val="00BF09FD"/>
    <w:rsid w:val="00BF0E58"/>
    <w:rsid w:val="00BF1A8C"/>
    <w:rsid w:val="00BF28A1"/>
    <w:rsid w:val="00BF2D9D"/>
    <w:rsid w:val="00BF3E19"/>
    <w:rsid w:val="00BF471D"/>
    <w:rsid w:val="00BF4BD8"/>
    <w:rsid w:val="00BF72AD"/>
    <w:rsid w:val="00BF7ACF"/>
    <w:rsid w:val="00C02F05"/>
    <w:rsid w:val="00C03A5E"/>
    <w:rsid w:val="00C04A6D"/>
    <w:rsid w:val="00C05A25"/>
    <w:rsid w:val="00C05BF7"/>
    <w:rsid w:val="00C05D44"/>
    <w:rsid w:val="00C0623B"/>
    <w:rsid w:val="00C06AE3"/>
    <w:rsid w:val="00C0738F"/>
    <w:rsid w:val="00C07B06"/>
    <w:rsid w:val="00C07BD9"/>
    <w:rsid w:val="00C10BE6"/>
    <w:rsid w:val="00C11DB2"/>
    <w:rsid w:val="00C11DDC"/>
    <w:rsid w:val="00C1253B"/>
    <w:rsid w:val="00C12A71"/>
    <w:rsid w:val="00C14EC9"/>
    <w:rsid w:val="00C15195"/>
    <w:rsid w:val="00C20A23"/>
    <w:rsid w:val="00C20AD5"/>
    <w:rsid w:val="00C2446E"/>
    <w:rsid w:val="00C24A31"/>
    <w:rsid w:val="00C25127"/>
    <w:rsid w:val="00C263BB"/>
    <w:rsid w:val="00C26477"/>
    <w:rsid w:val="00C26D38"/>
    <w:rsid w:val="00C26F0A"/>
    <w:rsid w:val="00C26F6C"/>
    <w:rsid w:val="00C27A03"/>
    <w:rsid w:val="00C303EC"/>
    <w:rsid w:val="00C30BFB"/>
    <w:rsid w:val="00C32988"/>
    <w:rsid w:val="00C32C3F"/>
    <w:rsid w:val="00C33283"/>
    <w:rsid w:val="00C33E34"/>
    <w:rsid w:val="00C3484E"/>
    <w:rsid w:val="00C357D2"/>
    <w:rsid w:val="00C36913"/>
    <w:rsid w:val="00C37179"/>
    <w:rsid w:val="00C37BC5"/>
    <w:rsid w:val="00C40B8E"/>
    <w:rsid w:val="00C40D4F"/>
    <w:rsid w:val="00C411BB"/>
    <w:rsid w:val="00C4128D"/>
    <w:rsid w:val="00C412BB"/>
    <w:rsid w:val="00C41BF8"/>
    <w:rsid w:val="00C429D0"/>
    <w:rsid w:val="00C42EC5"/>
    <w:rsid w:val="00C43168"/>
    <w:rsid w:val="00C43CE2"/>
    <w:rsid w:val="00C4490D"/>
    <w:rsid w:val="00C45225"/>
    <w:rsid w:val="00C4628D"/>
    <w:rsid w:val="00C46BD5"/>
    <w:rsid w:val="00C47246"/>
    <w:rsid w:val="00C47FBD"/>
    <w:rsid w:val="00C50BDA"/>
    <w:rsid w:val="00C52418"/>
    <w:rsid w:val="00C52BA1"/>
    <w:rsid w:val="00C52BC3"/>
    <w:rsid w:val="00C5337C"/>
    <w:rsid w:val="00C537D9"/>
    <w:rsid w:val="00C54469"/>
    <w:rsid w:val="00C54EE6"/>
    <w:rsid w:val="00C55439"/>
    <w:rsid w:val="00C5654B"/>
    <w:rsid w:val="00C56D76"/>
    <w:rsid w:val="00C575BF"/>
    <w:rsid w:val="00C57849"/>
    <w:rsid w:val="00C61151"/>
    <w:rsid w:val="00C62F5B"/>
    <w:rsid w:val="00C636B0"/>
    <w:rsid w:val="00C64F76"/>
    <w:rsid w:val="00C663A1"/>
    <w:rsid w:val="00C67197"/>
    <w:rsid w:val="00C70D79"/>
    <w:rsid w:val="00C70F24"/>
    <w:rsid w:val="00C71320"/>
    <w:rsid w:val="00C73713"/>
    <w:rsid w:val="00C76E67"/>
    <w:rsid w:val="00C77FA3"/>
    <w:rsid w:val="00C8018E"/>
    <w:rsid w:val="00C802E8"/>
    <w:rsid w:val="00C80CB7"/>
    <w:rsid w:val="00C81503"/>
    <w:rsid w:val="00C81B36"/>
    <w:rsid w:val="00C82A76"/>
    <w:rsid w:val="00C83895"/>
    <w:rsid w:val="00C86187"/>
    <w:rsid w:val="00C868C7"/>
    <w:rsid w:val="00C9095C"/>
    <w:rsid w:val="00C9117F"/>
    <w:rsid w:val="00C925F8"/>
    <w:rsid w:val="00C9322F"/>
    <w:rsid w:val="00C93483"/>
    <w:rsid w:val="00C939DB"/>
    <w:rsid w:val="00C943B2"/>
    <w:rsid w:val="00C94F3C"/>
    <w:rsid w:val="00CA0C89"/>
    <w:rsid w:val="00CA16ED"/>
    <w:rsid w:val="00CA52B7"/>
    <w:rsid w:val="00CB07A0"/>
    <w:rsid w:val="00CB0A82"/>
    <w:rsid w:val="00CB2A87"/>
    <w:rsid w:val="00CB4E80"/>
    <w:rsid w:val="00CB6CA7"/>
    <w:rsid w:val="00CB7A9F"/>
    <w:rsid w:val="00CC02E6"/>
    <w:rsid w:val="00CC0C39"/>
    <w:rsid w:val="00CC151D"/>
    <w:rsid w:val="00CC1722"/>
    <w:rsid w:val="00CC1AB6"/>
    <w:rsid w:val="00CC2780"/>
    <w:rsid w:val="00CD04B2"/>
    <w:rsid w:val="00CD0D9F"/>
    <w:rsid w:val="00CD1050"/>
    <w:rsid w:val="00CD1229"/>
    <w:rsid w:val="00CD3959"/>
    <w:rsid w:val="00CD41E8"/>
    <w:rsid w:val="00CD4578"/>
    <w:rsid w:val="00CD523E"/>
    <w:rsid w:val="00CD597D"/>
    <w:rsid w:val="00CD6074"/>
    <w:rsid w:val="00CD6813"/>
    <w:rsid w:val="00CD6DCC"/>
    <w:rsid w:val="00CD72E5"/>
    <w:rsid w:val="00CD73A6"/>
    <w:rsid w:val="00CD7536"/>
    <w:rsid w:val="00CE0477"/>
    <w:rsid w:val="00CE10AD"/>
    <w:rsid w:val="00CE1421"/>
    <w:rsid w:val="00CE2ED6"/>
    <w:rsid w:val="00CE393B"/>
    <w:rsid w:val="00CE39C7"/>
    <w:rsid w:val="00CE3EC2"/>
    <w:rsid w:val="00CE4791"/>
    <w:rsid w:val="00CE4A00"/>
    <w:rsid w:val="00CE51DD"/>
    <w:rsid w:val="00CE6B7A"/>
    <w:rsid w:val="00CE6D7C"/>
    <w:rsid w:val="00CE7185"/>
    <w:rsid w:val="00CF0032"/>
    <w:rsid w:val="00CF124B"/>
    <w:rsid w:val="00CF1570"/>
    <w:rsid w:val="00CF166A"/>
    <w:rsid w:val="00CF1D85"/>
    <w:rsid w:val="00CF3246"/>
    <w:rsid w:val="00CF3D0B"/>
    <w:rsid w:val="00CF4023"/>
    <w:rsid w:val="00CF677C"/>
    <w:rsid w:val="00CF6EC7"/>
    <w:rsid w:val="00CF6FE6"/>
    <w:rsid w:val="00CF741C"/>
    <w:rsid w:val="00D00080"/>
    <w:rsid w:val="00D0073E"/>
    <w:rsid w:val="00D01013"/>
    <w:rsid w:val="00D02984"/>
    <w:rsid w:val="00D03031"/>
    <w:rsid w:val="00D03064"/>
    <w:rsid w:val="00D031CE"/>
    <w:rsid w:val="00D03611"/>
    <w:rsid w:val="00D03846"/>
    <w:rsid w:val="00D03CB4"/>
    <w:rsid w:val="00D040FF"/>
    <w:rsid w:val="00D04447"/>
    <w:rsid w:val="00D05A20"/>
    <w:rsid w:val="00D05EF2"/>
    <w:rsid w:val="00D06342"/>
    <w:rsid w:val="00D06F25"/>
    <w:rsid w:val="00D074FD"/>
    <w:rsid w:val="00D079D1"/>
    <w:rsid w:val="00D07FD6"/>
    <w:rsid w:val="00D102A1"/>
    <w:rsid w:val="00D10881"/>
    <w:rsid w:val="00D10BED"/>
    <w:rsid w:val="00D11071"/>
    <w:rsid w:val="00D11EBB"/>
    <w:rsid w:val="00D13803"/>
    <w:rsid w:val="00D14D75"/>
    <w:rsid w:val="00D169DE"/>
    <w:rsid w:val="00D17A21"/>
    <w:rsid w:val="00D205A2"/>
    <w:rsid w:val="00D207BE"/>
    <w:rsid w:val="00D20A6B"/>
    <w:rsid w:val="00D224A9"/>
    <w:rsid w:val="00D22847"/>
    <w:rsid w:val="00D23B04"/>
    <w:rsid w:val="00D23E66"/>
    <w:rsid w:val="00D25D29"/>
    <w:rsid w:val="00D262F8"/>
    <w:rsid w:val="00D274D2"/>
    <w:rsid w:val="00D3055F"/>
    <w:rsid w:val="00D30804"/>
    <w:rsid w:val="00D340D1"/>
    <w:rsid w:val="00D34A06"/>
    <w:rsid w:val="00D34A6A"/>
    <w:rsid w:val="00D34C89"/>
    <w:rsid w:val="00D352AF"/>
    <w:rsid w:val="00D35B77"/>
    <w:rsid w:val="00D36040"/>
    <w:rsid w:val="00D36A44"/>
    <w:rsid w:val="00D36AC5"/>
    <w:rsid w:val="00D40BB3"/>
    <w:rsid w:val="00D43194"/>
    <w:rsid w:val="00D43461"/>
    <w:rsid w:val="00D43894"/>
    <w:rsid w:val="00D4544A"/>
    <w:rsid w:val="00D46028"/>
    <w:rsid w:val="00D469E6"/>
    <w:rsid w:val="00D47A6A"/>
    <w:rsid w:val="00D47ABE"/>
    <w:rsid w:val="00D51E39"/>
    <w:rsid w:val="00D52085"/>
    <w:rsid w:val="00D522E4"/>
    <w:rsid w:val="00D523E6"/>
    <w:rsid w:val="00D5282D"/>
    <w:rsid w:val="00D537F3"/>
    <w:rsid w:val="00D53FB3"/>
    <w:rsid w:val="00D5411B"/>
    <w:rsid w:val="00D54615"/>
    <w:rsid w:val="00D549F3"/>
    <w:rsid w:val="00D5555F"/>
    <w:rsid w:val="00D5654D"/>
    <w:rsid w:val="00D566A3"/>
    <w:rsid w:val="00D56952"/>
    <w:rsid w:val="00D5746C"/>
    <w:rsid w:val="00D6034B"/>
    <w:rsid w:val="00D60B00"/>
    <w:rsid w:val="00D60C7D"/>
    <w:rsid w:val="00D61E9D"/>
    <w:rsid w:val="00D620C6"/>
    <w:rsid w:val="00D622D8"/>
    <w:rsid w:val="00D6241C"/>
    <w:rsid w:val="00D62E22"/>
    <w:rsid w:val="00D636F8"/>
    <w:rsid w:val="00D641E8"/>
    <w:rsid w:val="00D64AA0"/>
    <w:rsid w:val="00D650F6"/>
    <w:rsid w:val="00D65BCC"/>
    <w:rsid w:val="00D65FAC"/>
    <w:rsid w:val="00D67FD8"/>
    <w:rsid w:val="00D70B1F"/>
    <w:rsid w:val="00D71095"/>
    <w:rsid w:val="00D72B03"/>
    <w:rsid w:val="00D73697"/>
    <w:rsid w:val="00D73F43"/>
    <w:rsid w:val="00D7464E"/>
    <w:rsid w:val="00D7518E"/>
    <w:rsid w:val="00D77684"/>
    <w:rsid w:val="00D8025A"/>
    <w:rsid w:val="00D81AFD"/>
    <w:rsid w:val="00D81F0E"/>
    <w:rsid w:val="00D82CE3"/>
    <w:rsid w:val="00D8358B"/>
    <w:rsid w:val="00D83C02"/>
    <w:rsid w:val="00D8400E"/>
    <w:rsid w:val="00D84429"/>
    <w:rsid w:val="00D859FC"/>
    <w:rsid w:val="00D912A3"/>
    <w:rsid w:val="00D913C0"/>
    <w:rsid w:val="00D92D8B"/>
    <w:rsid w:val="00D946A5"/>
    <w:rsid w:val="00D954BA"/>
    <w:rsid w:val="00D954EC"/>
    <w:rsid w:val="00D95B82"/>
    <w:rsid w:val="00D95FAD"/>
    <w:rsid w:val="00D961EB"/>
    <w:rsid w:val="00D9716F"/>
    <w:rsid w:val="00D97414"/>
    <w:rsid w:val="00D97494"/>
    <w:rsid w:val="00D977CF"/>
    <w:rsid w:val="00D97CA6"/>
    <w:rsid w:val="00DA26F8"/>
    <w:rsid w:val="00DA31EF"/>
    <w:rsid w:val="00DA4709"/>
    <w:rsid w:val="00DA5D85"/>
    <w:rsid w:val="00DA5D89"/>
    <w:rsid w:val="00DA6586"/>
    <w:rsid w:val="00DA7466"/>
    <w:rsid w:val="00DA78EB"/>
    <w:rsid w:val="00DB094E"/>
    <w:rsid w:val="00DB1D32"/>
    <w:rsid w:val="00DB1F36"/>
    <w:rsid w:val="00DB2A68"/>
    <w:rsid w:val="00DB376E"/>
    <w:rsid w:val="00DB3D12"/>
    <w:rsid w:val="00DB6117"/>
    <w:rsid w:val="00DB678C"/>
    <w:rsid w:val="00DB7113"/>
    <w:rsid w:val="00DB7331"/>
    <w:rsid w:val="00DB7E91"/>
    <w:rsid w:val="00DC0769"/>
    <w:rsid w:val="00DC09CB"/>
    <w:rsid w:val="00DC0FFF"/>
    <w:rsid w:val="00DC108A"/>
    <w:rsid w:val="00DC17CE"/>
    <w:rsid w:val="00DC294B"/>
    <w:rsid w:val="00DC338B"/>
    <w:rsid w:val="00DC4830"/>
    <w:rsid w:val="00DC560F"/>
    <w:rsid w:val="00DC7A5A"/>
    <w:rsid w:val="00DD03C7"/>
    <w:rsid w:val="00DD0438"/>
    <w:rsid w:val="00DD127B"/>
    <w:rsid w:val="00DD1A6E"/>
    <w:rsid w:val="00DD23B0"/>
    <w:rsid w:val="00DD2645"/>
    <w:rsid w:val="00DD4C24"/>
    <w:rsid w:val="00DD5BBB"/>
    <w:rsid w:val="00DD661C"/>
    <w:rsid w:val="00DD693E"/>
    <w:rsid w:val="00DD7BBD"/>
    <w:rsid w:val="00DE068A"/>
    <w:rsid w:val="00DE08BF"/>
    <w:rsid w:val="00DE422D"/>
    <w:rsid w:val="00DE430F"/>
    <w:rsid w:val="00DE6B1B"/>
    <w:rsid w:val="00DE6B7A"/>
    <w:rsid w:val="00DE7B39"/>
    <w:rsid w:val="00DF1156"/>
    <w:rsid w:val="00DF2503"/>
    <w:rsid w:val="00DF3A76"/>
    <w:rsid w:val="00DF3AE6"/>
    <w:rsid w:val="00DF3BB7"/>
    <w:rsid w:val="00DF40F4"/>
    <w:rsid w:val="00DF56B4"/>
    <w:rsid w:val="00DF5BF2"/>
    <w:rsid w:val="00DF5DEF"/>
    <w:rsid w:val="00DF66B3"/>
    <w:rsid w:val="00E002C4"/>
    <w:rsid w:val="00E003C4"/>
    <w:rsid w:val="00E00A14"/>
    <w:rsid w:val="00E00D2D"/>
    <w:rsid w:val="00E023A5"/>
    <w:rsid w:val="00E024B5"/>
    <w:rsid w:val="00E02B41"/>
    <w:rsid w:val="00E0314D"/>
    <w:rsid w:val="00E033A6"/>
    <w:rsid w:val="00E03778"/>
    <w:rsid w:val="00E03897"/>
    <w:rsid w:val="00E0612B"/>
    <w:rsid w:val="00E07795"/>
    <w:rsid w:val="00E07CF0"/>
    <w:rsid w:val="00E10957"/>
    <w:rsid w:val="00E10CDE"/>
    <w:rsid w:val="00E10E18"/>
    <w:rsid w:val="00E11606"/>
    <w:rsid w:val="00E12CC1"/>
    <w:rsid w:val="00E13DEB"/>
    <w:rsid w:val="00E14DF7"/>
    <w:rsid w:val="00E15355"/>
    <w:rsid w:val="00E15B44"/>
    <w:rsid w:val="00E1615D"/>
    <w:rsid w:val="00E16905"/>
    <w:rsid w:val="00E17489"/>
    <w:rsid w:val="00E17A9F"/>
    <w:rsid w:val="00E17B5B"/>
    <w:rsid w:val="00E20276"/>
    <w:rsid w:val="00E22269"/>
    <w:rsid w:val="00E236CD"/>
    <w:rsid w:val="00E24823"/>
    <w:rsid w:val="00E24863"/>
    <w:rsid w:val="00E24DD2"/>
    <w:rsid w:val="00E24FD7"/>
    <w:rsid w:val="00E25161"/>
    <w:rsid w:val="00E25225"/>
    <w:rsid w:val="00E25A9A"/>
    <w:rsid w:val="00E2604F"/>
    <w:rsid w:val="00E262E3"/>
    <w:rsid w:val="00E26BF0"/>
    <w:rsid w:val="00E26F26"/>
    <w:rsid w:val="00E272DB"/>
    <w:rsid w:val="00E301E0"/>
    <w:rsid w:val="00E30AE1"/>
    <w:rsid w:val="00E31EFA"/>
    <w:rsid w:val="00E31F45"/>
    <w:rsid w:val="00E31FD3"/>
    <w:rsid w:val="00E322AC"/>
    <w:rsid w:val="00E329D5"/>
    <w:rsid w:val="00E336DC"/>
    <w:rsid w:val="00E338C8"/>
    <w:rsid w:val="00E3391D"/>
    <w:rsid w:val="00E33DB2"/>
    <w:rsid w:val="00E33E1B"/>
    <w:rsid w:val="00E34A48"/>
    <w:rsid w:val="00E34AF3"/>
    <w:rsid w:val="00E34B09"/>
    <w:rsid w:val="00E35A2C"/>
    <w:rsid w:val="00E35C82"/>
    <w:rsid w:val="00E36C79"/>
    <w:rsid w:val="00E36D87"/>
    <w:rsid w:val="00E370A5"/>
    <w:rsid w:val="00E37CEC"/>
    <w:rsid w:val="00E40D82"/>
    <w:rsid w:val="00E4116D"/>
    <w:rsid w:val="00E41286"/>
    <w:rsid w:val="00E4209E"/>
    <w:rsid w:val="00E432C9"/>
    <w:rsid w:val="00E43584"/>
    <w:rsid w:val="00E438CB"/>
    <w:rsid w:val="00E43B1C"/>
    <w:rsid w:val="00E446C4"/>
    <w:rsid w:val="00E44749"/>
    <w:rsid w:val="00E44F26"/>
    <w:rsid w:val="00E45050"/>
    <w:rsid w:val="00E469F2"/>
    <w:rsid w:val="00E4700C"/>
    <w:rsid w:val="00E52F91"/>
    <w:rsid w:val="00E539AE"/>
    <w:rsid w:val="00E53E5C"/>
    <w:rsid w:val="00E54173"/>
    <w:rsid w:val="00E56356"/>
    <w:rsid w:val="00E56372"/>
    <w:rsid w:val="00E56E0A"/>
    <w:rsid w:val="00E57FF7"/>
    <w:rsid w:val="00E60878"/>
    <w:rsid w:val="00E61054"/>
    <w:rsid w:val="00E61A39"/>
    <w:rsid w:val="00E62202"/>
    <w:rsid w:val="00E62D03"/>
    <w:rsid w:val="00E6350D"/>
    <w:rsid w:val="00E63AB4"/>
    <w:rsid w:val="00E63B8B"/>
    <w:rsid w:val="00E65AFE"/>
    <w:rsid w:val="00E705BC"/>
    <w:rsid w:val="00E72097"/>
    <w:rsid w:val="00E72892"/>
    <w:rsid w:val="00E73F03"/>
    <w:rsid w:val="00E74A02"/>
    <w:rsid w:val="00E76380"/>
    <w:rsid w:val="00E771FE"/>
    <w:rsid w:val="00E77597"/>
    <w:rsid w:val="00E8066D"/>
    <w:rsid w:val="00E80A77"/>
    <w:rsid w:val="00E817E0"/>
    <w:rsid w:val="00E85803"/>
    <w:rsid w:val="00E85F12"/>
    <w:rsid w:val="00E8751E"/>
    <w:rsid w:val="00E90A1A"/>
    <w:rsid w:val="00E9174D"/>
    <w:rsid w:val="00E9242E"/>
    <w:rsid w:val="00E930DB"/>
    <w:rsid w:val="00E931E3"/>
    <w:rsid w:val="00E941B0"/>
    <w:rsid w:val="00E95945"/>
    <w:rsid w:val="00E965DC"/>
    <w:rsid w:val="00E97857"/>
    <w:rsid w:val="00EA2564"/>
    <w:rsid w:val="00EB00FF"/>
    <w:rsid w:val="00EB0A9F"/>
    <w:rsid w:val="00EB120E"/>
    <w:rsid w:val="00EB2457"/>
    <w:rsid w:val="00EB28D1"/>
    <w:rsid w:val="00EB3641"/>
    <w:rsid w:val="00EB3A0D"/>
    <w:rsid w:val="00EB3AAA"/>
    <w:rsid w:val="00EB4070"/>
    <w:rsid w:val="00EB492F"/>
    <w:rsid w:val="00EB6768"/>
    <w:rsid w:val="00EB727E"/>
    <w:rsid w:val="00EB728B"/>
    <w:rsid w:val="00EB758A"/>
    <w:rsid w:val="00EB7A9C"/>
    <w:rsid w:val="00EC0A43"/>
    <w:rsid w:val="00EC12F3"/>
    <w:rsid w:val="00EC1B79"/>
    <w:rsid w:val="00EC1BB0"/>
    <w:rsid w:val="00EC1E84"/>
    <w:rsid w:val="00EC267C"/>
    <w:rsid w:val="00EC3E8A"/>
    <w:rsid w:val="00EC4BBB"/>
    <w:rsid w:val="00EC4C78"/>
    <w:rsid w:val="00EC5FDC"/>
    <w:rsid w:val="00EC64DD"/>
    <w:rsid w:val="00EC681D"/>
    <w:rsid w:val="00EC6BAB"/>
    <w:rsid w:val="00EC70F4"/>
    <w:rsid w:val="00ED285E"/>
    <w:rsid w:val="00ED2B3A"/>
    <w:rsid w:val="00ED3278"/>
    <w:rsid w:val="00ED36F9"/>
    <w:rsid w:val="00ED3D7D"/>
    <w:rsid w:val="00ED4731"/>
    <w:rsid w:val="00ED4898"/>
    <w:rsid w:val="00ED5E51"/>
    <w:rsid w:val="00ED76F7"/>
    <w:rsid w:val="00EE3A11"/>
    <w:rsid w:val="00EE5A3F"/>
    <w:rsid w:val="00EE5DAA"/>
    <w:rsid w:val="00EE6012"/>
    <w:rsid w:val="00EE7869"/>
    <w:rsid w:val="00EF326D"/>
    <w:rsid w:val="00EF4460"/>
    <w:rsid w:val="00EF4CA0"/>
    <w:rsid w:val="00EF5F0B"/>
    <w:rsid w:val="00EF6736"/>
    <w:rsid w:val="00EF7C28"/>
    <w:rsid w:val="00F00D4A"/>
    <w:rsid w:val="00F00DEB"/>
    <w:rsid w:val="00F02D69"/>
    <w:rsid w:val="00F02D7C"/>
    <w:rsid w:val="00F02ECA"/>
    <w:rsid w:val="00F0307F"/>
    <w:rsid w:val="00F033C5"/>
    <w:rsid w:val="00F033C9"/>
    <w:rsid w:val="00F03E11"/>
    <w:rsid w:val="00F03EC5"/>
    <w:rsid w:val="00F04628"/>
    <w:rsid w:val="00F04FCC"/>
    <w:rsid w:val="00F0523A"/>
    <w:rsid w:val="00F05270"/>
    <w:rsid w:val="00F0653A"/>
    <w:rsid w:val="00F07220"/>
    <w:rsid w:val="00F0778B"/>
    <w:rsid w:val="00F11030"/>
    <w:rsid w:val="00F11059"/>
    <w:rsid w:val="00F115C9"/>
    <w:rsid w:val="00F134BA"/>
    <w:rsid w:val="00F13E44"/>
    <w:rsid w:val="00F14953"/>
    <w:rsid w:val="00F14979"/>
    <w:rsid w:val="00F14FD3"/>
    <w:rsid w:val="00F1656E"/>
    <w:rsid w:val="00F16C47"/>
    <w:rsid w:val="00F2012E"/>
    <w:rsid w:val="00F203BA"/>
    <w:rsid w:val="00F23F21"/>
    <w:rsid w:val="00F257C8"/>
    <w:rsid w:val="00F25BF3"/>
    <w:rsid w:val="00F26DE0"/>
    <w:rsid w:val="00F27D3D"/>
    <w:rsid w:val="00F27D94"/>
    <w:rsid w:val="00F27F95"/>
    <w:rsid w:val="00F32161"/>
    <w:rsid w:val="00F32779"/>
    <w:rsid w:val="00F32E80"/>
    <w:rsid w:val="00F34967"/>
    <w:rsid w:val="00F3509E"/>
    <w:rsid w:val="00F35BF5"/>
    <w:rsid w:val="00F36AC2"/>
    <w:rsid w:val="00F36AF8"/>
    <w:rsid w:val="00F3788C"/>
    <w:rsid w:val="00F37CDE"/>
    <w:rsid w:val="00F401AE"/>
    <w:rsid w:val="00F40C25"/>
    <w:rsid w:val="00F43A76"/>
    <w:rsid w:val="00F43E49"/>
    <w:rsid w:val="00F44E45"/>
    <w:rsid w:val="00F44E6A"/>
    <w:rsid w:val="00F46F40"/>
    <w:rsid w:val="00F47825"/>
    <w:rsid w:val="00F515E5"/>
    <w:rsid w:val="00F51FE1"/>
    <w:rsid w:val="00F535A4"/>
    <w:rsid w:val="00F536A5"/>
    <w:rsid w:val="00F540D6"/>
    <w:rsid w:val="00F54486"/>
    <w:rsid w:val="00F5499F"/>
    <w:rsid w:val="00F5622F"/>
    <w:rsid w:val="00F57617"/>
    <w:rsid w:val="00F57832"/>
    <w:rsid w:val="00F612EE"/>
    <w:rsid w:val="00F61F3B"/>
    <w:rsid w:val="00F70E44"/>
    <w:rsid w:val="00F72142"/>
    <w:rsid w:val="00F72185"/>
    <w:rsid w:val="00F729C6"/>
    <w:rsid w:val="00F72C83"/>
    <w:rsid w:val="00F72F93"/>
    <w:rsid w:val="00F741C6"/>
    <w:rsid w:val="00F741D3"/>
    <w:rsid w:val="00F7638D"/>
    <w:rsid w:val="00F767E3"/>
    <w:rsid w:val="00F76B41"/>
    <w:rsid w:val="00F76B42"/>
    <w:rsid w:val="00F76BC8"/>
    <w:rsid w:val="00F803C8"/>
    <w:rsid w:val="00F824CE"/>
    <w:rsid w:val="00F82803"/>
    <w:rsid w:val="00F82B57"/>
    <w:rsid w:val="00F83001"/>
    <w:rsid w:val="00F8431A"/>
    <w:rsid w:val="00F8478E"/>
    <w:rsid w:val="00F85051"/>
    <w:rsid w:val="00F85208"/>
    <w:rsid w:val="00F8550F"/>
    <w:rsid w:val="00F86A39"/>
    <w:rsid w:val="00F86D70"/>
    <w:rsid w:val="00F87298"/>
    <w:rsid w:val="00F90FE4"/>
    <w:rsid w:val="00F91201"/>
    <w:rsid w:val="00F91384"/>
    <w:rsid w:val="00F9254E"/>
    <w:rsid w:val="00F9350C"/>
    <w:rsid w:val="00F93BCD"/>
    <w:rsid w:val="00F93CB7"/>
    <w:rsid w:val="00F93FB7"/>
    <w:rsid w:val="00F94881"/>
    <w:rsid w:val="00F95F3A"/>
    <w:rsid w:val="00F963AA"/>
    <w:rsid w:val="00F96BBA"/>
    <w:rsid w:val="00F9768C"/>
    <w:rsid w:val="00F97986"/>
    <w:rsid w:val="00FA07F8"/>
    <w:rsid w:val="00FA0E36"/>
    <w:rsid w:val="00FB181D"/>
    <w:rsid w:val="00FB3070"/>
    <w:rsid w:val="00FB43FA"/>
    <w:rsid w:val="00FB5466"/>
    <w:rsid w:val="00FB5819"/>
    <w:rsid w:val="00FB6B1D"/>
    <w:rsid w:val="00FB6FBD"/>
    <w:rsid w:val="00FB71B0"/>
    <w:rsid w:val="00FB76F4"/>
    <w:rsid w:val="00FB79D8"/>
    <w:rsid w:val="00FB7D37"/>
    <w:rsid w:val="00FC0CE5"/>
    <w:rsid w:val="00FC0D9A"/>
    <w:rsid w:val="00FC13D5"/>
    <w:rsid w:val="00FC1565"/>
    <w:rsid w:val="00FC1BC3"/>
    <w:rsid w:val="00FC22C4"/>
    <w:rsid w:val="00FC2CE5"/>
    <w:rsid w:val="00FC427A"/>
    <w:rsid w:val="00FC5EA4"/>
    <w:rsid w:val="00FC666C"/>
    <w:rsid w:val="00FC6A69"/>
    <w:rsid w:val="00FC6C6B"/>
    <w:rsid w:val="00FC6FCE"/>
    <w:rsid w:val="00FC7073"/>
    <w:rsid w:val="00FC7DBC"/>
    <w:rsid w:val="00FD06DA"/>
    <w:rsid w:val="00FD072A"/>
    <w:rsid w:val="00FD1094"/>
    <w:rsid w:val="00FD143E"/>
    <w:rsid w:val="00FD1A84"/>
    <w:rsid w:val="00FD25D4"/>
    <w:rsid w:val="00FD2640"/>
    <w:rsid w:val="00FD3D00"/>
    <w:rsid w:val="00FD622D"/>
    <w:rsid w:val="00FD66A5"/>
    <w:rsid w:val="00FE0721"/>
    <w:rsid w:val="00FE088B"/>
    <w:rsid w:val="00FE12AB"/>
    <w:rsid w:val="00FE30C2"/>
    <w:rsid w:val="00FE35FC"/>
    <w:rsid w:val="00FE3F32"/>
    <w:rsid w:val="00FE44D3"/>
    <w:rsid w:val="00FE6E53"/>
    <w:rsid w:val="00FF032A"/>
    <w:rsid w:val="00FF12D4"/>
    <w:rsid w:val="00FF36D1"/>
    <w:rsid w:val="00FF5C6F"/>
    <w:rsid w:val="00FF5E98"/>
    <w:rsid w:val="00FF69B1"/>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7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semiHidden="1" w:uiPriority="0"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F"/>
    <w:pPr>
      <w:jc w:val="both"/>
    </w:pPr>
    <w:rPr>
      <w:sz w:val="24"/>
      <w:szCs w:val="20"/>
    </w:rPr>
  </w:style>
  <w:style w:type="paragraph" w:styleId="Heading1">
    <w:name w:val="heading 1"/>
    <w:basedOn w:val="Normal"/>
    <w:next w:val="BodyText"/>
    <w:link w:val="Heading1Char"/>
    <w:autoRedefine/>
    <w:uiPriority w:val="99"/>
    <w:unhideWhenUsed/>
    <w:qFormat/>
    <w:rsid w:val="00D5411B"/>
    <w:pPr>
      <w:keepNext/>
      <w:keepLines/>
      <w:widowControl w:val="0"/>
      <w:numPr>
        <w:numId w:val="15"/>
      </w:numPr>
      <w:spacing w:before="120" w:after="240"/>
      <w:ind w:left="-547"/>
      <w:jc w:val="center"/>
      <w:outlineLvl w:val="0"/>
    </w:pPr>
    <w:rPr>
      <w:b/>
      <w:caps/>
      <w:color w:val="000000"/>
      <w:kern w:val="28"/>
      <w:u w:val="single"/>
    </w:rPr>
  </w:style>
  <w:style w:type="paragraph" w:styleId="Heading2">
    <w:name w:val="heading 2"/>
    <w:basedOn w:val="Normal"/>
    <w:next w:val="BodyText"/>
    <w:link w:val="Heading2Char"/>
    <w:uiPriority w:val="99"/>
    <w:unhideWhenUsed/>
    <w:qFormat/>
    <w:rsid w:val="0033546E"/>
    <w:pPr>
      <w:numPr>
        <w:ilvl w:val="1"/>
        <w:numId w:val="15"/>
      </w:numPr>
      <w:spacing w:after="240"/>
      <w:outlineLvl w:val="1"/>
    </w:pPr>
    <w:rPr>
      <w:b/>
      <w:color w:val="000000"/>
      <w:u w:val="single"/>
    </w:rPr>
  </w:style>
  <w:style w:type="paragraph" w:styleId="Heading3">
    <w:name w:val="heading 3"/>
    <w:basedOn w:val="Normal"/>
    <w:next w:val="BodyText"/>
    <w:link w:val="Heading3Char"/>
    <w:uiPriority w:val="99"/>
    <w:unhideWhenUsed/>
    <w:qFormat/>
    <w:rsid w:val="0033546E"/>
    <w:pPr>
      <w:numPr>
        <w:ilvl w:val="2"/>
        <w:numId w:val="15"/>
      </w:numPr>
      <w:spacing w:after="240"/>
      <w:outlineLvl w:val="2"/>
    </w:pPr>
    <w:rPr>
      <w:color w:val="000000"/>
    </w:rPr>
  </w:style>
  <w:style w:type="paragraph" w:styleId="Heading4">
    <w:name w:val="heading 4"/>
    <w:basedOn w:val="Normal"/>
    <w:next w:val="BodyText"/>
    <w:link w:val="Heading4Char"/>
    <w:uiPriority w:val="99"/>
    <w:unhideWhenUsed/>
    <w:qFormat/>
    <w:rsid w:val="0033546E"/>
    <w:pPr>
      <w:numPr>
        <w:ilvl w:val="3"/>
        <w:numId w:val="15"/>
      </w:numPr>
      <w:spacing w:after="240"/>
      <w:outlineLvl w:val="3"/>
    </w:pPr>
    <w:rPr>
      <w:color w:val="000000"/>
    </w:rPr>
  </w:style>
  <w:style w:type="paragraph" w:styleId="Heading5">
    <w:name w:val="heading 5"/>
    <w:basedOn w:val="Normal"/>
    <w:next w:val="BodyText"/>
    <w:link w:val="Heading5Char"/>
    <w:uiPriority w:val="99"/>
    <w:unhideWhenUsed/>
    <w:qFormat/>
    <w:rsid w:val="0033546E"/>
    <w:pPr>
      <w:numPr>
        <w:ilvl w:val="4"/>
        <w:numId w:val="15"/>
      </w:numPr>
      <w:spacing w:after="240"/>
      <w:outlineLvl w:val="4"/>
    </w:pPr>
    <w:rPr>
      <w:color w:val="000000"/>
    </w:rPr>
  </w:style>
  <w:style w:type="paragraph" w:styleId="Heading6">
    <w:name w:val="heading 6"/>
    <w:basedOn w:val="Normal"/>
    <w:next w:val="BodyText"/>
    <w:link w:val="Heading6Char"/>
    <w:uiPriority w:val="99"/>
    <w:unhideWhenUsed/>
    <w:qFormat/>
    <w:rsid w:val="0033546E"/>
    <w:pPr>
      <w:numPr>
        <w:ilvl w:val="5"/>
        <w:numId w:val="15"/>
      </w:numPr>
      <w:spacing w:after="240"/>
      <w:outlineLvl w:val="5"/>
    </w:pPr>
    <w:rPr>
      <w:color w:val="000000"/>
    </w:rPr>
  </w:style>
  <w:style w:type="paragraph" w:styleId="Heading7">
    <w:name w:val="heading 7"/>
    <w:basedOn w:val="Normal"/>
    <w:next w:val="BodyText"/>
    <w:link w:val="Heading7Char"/>
    <w:uiPriority w:val="99"/>
    <w:unhideWhenUsed/>
    <w:qFormat/>
    <w:rsid w:val="0033546E"/>
    <w:pPr>
      <w:numPr>
        <w:ilvl w:val="6"/>
        <w:numId w:val="15"/>
      </w:numPr>
      <w:spacing w:after="240"/>
      <w:outlineLvl w:val="6"/>
    </w:pPr>
    <w:rPr>
      <w:color w:val="000000"/>
    </w:rPr>
  </w:style>
  <w:style w:type="paragraph" w:styleId="Heading8">
    <w:name w:val="heading 8"/>
    <w:basedOn w:val="Normal"/>
    <w:next w:val="BodyText"/>
    <w:link w:val="Heading8Char"/>
    <w:uiPriority w:val="99"/>
    <w:unhideWhenUsed/>
    <w:qFormat/>
    <w:rsid w:val="0033546E"/>
    <w:pPr>
      <w:numPr>
        <w:ilvl w:val="7"/>
        <w:numId w:val="15"/>
      </w:numPr>
      <w:spacing w:after="240"/>
      <w:outlineLvl w:val="7"/>
    </w:pPr>
    <w:rPr>
      <w:color w:val="000000"/>
    </w:rPr>
  </w:style>
  <w:style w:type="paragraph" w:styleId="Heading9">
    <w:name w:val="heading 9"/>
    <w:basedOn w:val="Normal"/>
    <w:next w:val="BodyText"/>
    <w:link w:val="Heading9Char"/>
    <w:uiPriority w:val="99"/>
    <w:unhideWhenUsed/>
    <w:qFormat/>
    <w:rsid w:val="0033546E"/>
    <w:pPr>
      <w:numPr>
        <w:ilvl w:val="8"/>
        <w:numId w:val="15"/>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20F"/>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8C1EE1"/>
    <w:pPr>
      <w:keepNext/>
      <w:keepLines/>
      <w:spacing w:after="240"/>
      <w:jc w:val="center"/>
      <w:outlineLvl w:val="0"/>
    </w:pPr>
    <w:rPr>
      <w:b/>
      <w:kern w:val="28"/>
    </w:rPr>
  </w:style>
  <w:style w:type="character" w:customStyle="1" w:styleId="TitleChar">
    <w:name w:val="Title Char"/>
    <w:basedOn w:val="DefaultParagraphFont"/>
    <w:link w:val="Title"/>
    <w:rsid w:val="008C1EE1"/>
    <w:rPr>
      <w:b/>
      <w:kern w:val="28"/>
      <w:sz w:val="24"/>
      <w:szCs w:val="20"/>
    </w:rPr>
  </w:style>
  <w:style w:type="character" w:customStyle="1" w:styleId="Heading1Char">
    <w:name w:val="Heading 1 Char"/>
    <w:basedOn w:val="DefaultParagraphFont"/>
    <w:link w:val="Heading1"/>
    <w:uiPriority w:val="99"/>
    <w:rsid w:val="00D5411B"/>
    <w:rPr>
      <w:b/>
      <w:caps/>
      <w:color w:val="000000"/>
      <w:kern w:val="28"/>
      <w:sz w:val="24"/>
      <w:szCs w:val="20"/>
      <w:u w:val="single"/>
    </w:rPr>
  </w:style>
  <w:style w:type="character" w:customStyle="1" w:styleId="Heading2Char">
    <w:name w:val="Heading 2 Char"/>
    <w:basedOn w:val="DefaultParagraphFont"/>
    <w:link w:val="Heading2"/>
    <w:uiPriority w:val="99"/>
    <w:rsid w:val="0075120F"/>
    <w:rPr>
      <w:b/>
      <w:color w:val="000000"/>
      <w:sz w:val="24"/>
      <w:szCs w:val="20"/>
      <w:u w:val="single"/>
    </w:rPr>
  </w:style>
  <w:style w:type="character" w:customStyle="1" w:styleId="Heading3Char">
    <w:name w:val="Heading 3 Char"/>
    <w:basedOn w:val="DefaultParagraphFont"/>
    <w:link w:val="Heading3"/>
    <w:uiPriority w:val="99"/>
    <w:rsid w:val="0075120F"/>
    <w:rPr>
      <w:color w:val="000000"/>
      <w:sz w:val="24"/>
      <w:szCs w:val="20"/>
    </w:rPr>
  </w:style>
  <w:style w:type="character" w:customStyle="1" w:styleId="Heading4Char">
    <w:name w:val="Heading 4 Char"/>
    <w:basedOn w:val="DefaultParagraphFont"/>
    <w:link w:val="Heading4"/>
    <w:uiPriority w:val="99"/>
    <w:rsid w:val="0075120F"/>
    <w:rPr>
      <w:color w:val="000000"/>
      <w:sz w:val="24"/>
      <w:szCs w:val="20"/>
    </w:rPr>
  </w:style>
  <w:style w:type="character" w:customStyle="1" w:styleId="Heading5Char">
    <w:name w:val="Heading 5 Char"/>
    <w:basedOn w:val="DefaultParagraphFont"/>
    <w:link w:val="Heading5"/>
    <w:uiPriority w:val="9"/>
    <w:rsid w:val="0075120F"/>
    <w:rPr>
      <w:color w:val="000000"/>
      <w:sz w:val="24"/>
      <w:szCs w:val="20"/>
    </w:rPr>
  </w:style>
  <w:style w:type="character" w:customStyle="1" w:styleId="Heading6Char">
    <w:name w:val="Heading 6 Char"/>
    <w:basedOn w:val="DefaultParagraphFont"/>
    <w:link w:val="Heading6"/>
    <w:uiPriority w:val="9"/>
    <w:rsid w:val="0075120F"/>
    <w:rPr>
      <w:color w:val="000000"/>
      <w:sz w:val="24"/>
      <w:szCs w:val="20"/>
    </w:rPr>
  </w:style>
  <w:style w:type="character" w:customStyle="1" w:styleId="Heading7Char">
    <w:name w:val="Heading 7 Char"/>
    <w:basedOn w:val="DefaultParagraphFont"/>
    <w:link w:val="Heading7"/>
    <w:uiPriority w:val="9"/>
    <w:rsid w:val="0075120F"/>
    <w:rPr>
      <w:color w:val="000000"/>
      <w:sz w:val="24"/>
      <w:szCs w:val="20"/>
    </w:rPr>
  </w:style>
  <w:style w:type="character" w:customStyle="1" w:styleId="Heading8Char">
    <w:name w:val="Heading 8 Char"/>
    <w:basedOn w:val="DefaultParagraphFont"/>
    <w:link w:val="Heading8"/>
    <w:uiPriority w:val="9"/>
    <w:rsid w:val="0075120F"/>
    <w:rPr>
      <w:color w:val="000000"/>
      <w:sz w:val="24"/>
      <w:szCs w:val="20"/>
    </w:rPr>
  </w:style>
  <w:style w:type="character" w:customStyle="1" w:styleId="Heading9Char">
    <w:name w:val="Heading 9 Char"/>
    <w:basedOn w:val="DefaultParagraphFont"/>
    <w:link w:val="Heading9"/>
    <w:uiPriority w:val="9"/>
    <w:rsid w:val="0075120F"/>
    <w:rPr>
      <w:color w:val="000000"/>
      <w:sz w:val="24"/>
      <w:szCs w:val="20"/>
    </w:rPr>
  </w:style>
  <w:style w:type="paragraph" w:styleId="Header">
    <w:name w:val="header"/>
    <w:basedOn w:val="Normal"/>
    <w:link w:val="HeaderChar"/>
    <w:unhideWhenUsed/>
    <w:qFormat/>
    <w:rsid w:val="0075120F"/>
    <w:pPr>
      <w:tabs>
        <w:tab w:val="center" w:pos="4320"/>
        <w:tab w:val="right" w:pos="8640"/>
      </w:tabs>
    </w:pPr>
  </w:style>
  <w:style w:type="character" w:customStyle="1" w:styleId="HeaderChar">
    <w:name w:val="Header Char"/>
    <w:basedOn w:val="DefaultParagraphFont"/>
    <w:link w:val="Header"/>
    <w:rsid w:val="0075120F"/>
    <w:rPr>
      <w:sz w:val="24"/>
      <w:szCs w:val="20"/>
    </w:rPr>
  </w:style>
  <w:style w:type="paragraph" w:styleId="Footer">
    <w:name w:val="footer"/>
    <w:basedOn w:val="Normal"/>
    <w:link w:val="FooterChar"/>
    <w:unhideWhenUsed/>
    <w:qFormat/>
    <w:rsid w:val="0075120F"/>
    <w:pPr>
      <w:tabs>
        <w:tab w:val="center" w:pos="4320"/>
        <w:tab w:val="right" w:pos="8640"/>
      </w:tabs>
    </w:pPr>
  </w:style>
  <w:style w:type="character" w:customStyle="1" w:styleId="FooterChar">
    <w:name w:val="Footer Char"/>
    <w:basedOn w:val="DefaultParagraphFont"/>
    <w:link w:val="Footer"/>
    <w:rsid w:val="0075120F"/>
    <w:rPr>
      <w:sz w:val="24"/>
      <w:szCs w:val="20"/>
    </w:rPr>
  </w:style>
  <w:style w:type="numbering" w:styleId="111111">
    <w:name w:val="Outline List 2"/>
    <w:basedOn w:val="NoList"/>
    <w:semiHidden/>
    <w:rsid w:val="0075120F"/>
    <w:pPr>
      <w:numPr>
        <w:numId w:val="26"/>
      </w:numPr>
    </w:pPr>
  </w:style>
  <w:style w:type="numbering" w:styleId="1ai">
    <w:name w:val="Outline List 1"/>
    <w:basedOn w:val="NoList"/>
    <w:semiHidden/>
    <w:rsid w:val="0075120F"/>
    <w:pPr>
      <w:numPr>
        <w:numId w:val="29"/>
      </w:numPr>
    </w:pPr>
  </w:style>
  <w:style w:type="numbering" w:styleId="ArticleSection">
    <w:name w:val="Outline List 3"/>
    <w:basedOn w:val="NoList"/>
    <w:semiHidden/>
    <w:rsid w:val="0075120F"/>
    <w:pPr>
      <w:numPr>
        <w:numId w:val="31"/>
      </w:numPr>
    </w:pPr>
  </w:style>
  <w:style w:type="paragraph" w:styleId="BlockText">
    <w:name w:val="Block Text"/>
    <w:basedOn w:val="Normal"/>
    <w:unhideWhenUsed/>
    <w:qFormat/>
    <w:rsid w:val="00C20A23"/>
    <w:pPr>
      <w:spacing w:after="240"/>
      <w:ind w:left="1440"/>
    </w:pPr>
  </w:style>
  <w:style w:type="paragraph" w:styleId="BodyText">
    <w:name w:val="Body Text"/>
    <w:basedOn w:val="Normal"/>
    <w:link w:val="BodyTextChar"/>
    <w:unhideWhenUsed/>
    <w:qFormat/>
    <w:rsid w:val="0075120F"/>
    <w:pPr>
      <w:spacing w:after="240"/>
      <w:ind w:firstLine="720"/>
    </w:pPr>
  </w:style>
  <w:style w:type="character" w:customStyle="1" w:styleId="BodyTextChar">
    <w:name w:val="Body Text Char"/>
    <w:basedOn w:val="DefaultParagraphFont"/>
    <w:link w:val="BodyText"/>
    <w:rsid w:val="0075120F"/>
    <w:rPr>
      <w:sz w:val="24"/>
      <w:szCs w:val="20"/>
    </w:rPr>
  </w:style>
  <w:style w:type="paragraph" w:styleId="BodyText2">
    <w:name w:val="Body Text 2"/>
    <w:basedOn w:val="BodyTextLeft"/>
    <w:link w:val="BodyText2Char"/>
    <w:unhideWhenUsed/>
    <w:rsid w:val="00080BB1"/>
    <w:pPr>
      <w:ind w:left="720"/>
    </w:pPr>
    <w:rPr>
      <w:lang w:val="en-CA"/>
    </w:rPr>
  </w:style>
  <w:style w:type="character" w:customStyle="1" w:styleId="BodyText2Char">
    <w:name w:val="Body Text 2 Char"/>
    <w:basedOn w:val="DefaultParagraphFont"/>
    <w:link w:val="BodyText2"/>
    <w:rsid w:val="00080BB1"/>
    <w:rPr>
      <w:sz w:val="24"/>
      <w:szCs w:val="20"/>
      <w:lang w:val="en-CA"/>
    </w:rPr>
  </w:style>
  <w:style w:type="paragraph" w:styleId="BodyText3">
    <w:name w:val="Body Text 3"/>
    <w:basedOn w:val="Normal"/>
    <w:link w:val="BodyText3Char"/>
    <w:unhideWhenUsed/>
    <w:rsid w:val="0075120F"/>
    <w:pPr>
      <w:spacing w:after="120"/>
    </w:pPr>
    <w:rPr>
      <w:sz w:val="16"/>
      <w:szCs w:val="16"/>
    </w:rPr>
  </w:style>
  <w:style w:type="character" w:customStyle="1" w:styleId="BodyText3Char">
    <w:name w:val="Body Text 3 Char"/>
    <w:basedOn w:val="DefaultParagraphFont"/>
    <w:link w:val="BodyText3"/>
    <w:rsid w:val="0075120F"/>
    <w:rPr>
      <w:sz w:val="16"/>
      <w:szCs w:val="16"/>
    </w:rPr>
  </w:style>
  <w:style w:type="paragraph" w:styleId="BodyTextFirstIndent">
    <w:name w:val="Body Text First Indent"/>
    <w:basedOn w:val="BodyText"/>
    <w:link w:val="BodyTextFirstIndentChar"/>
    <w:unhideWhenUsed/>
    <w:qFormat/>
    <w:rsid w:val="0075120F"/>
    <w:pPr>
      <w:spacing w:after="120"/>
      <w:ind w:firstLine="210"/>
    </w:pPr>
  </w:style>
  <w:style w:type="character" w:customStyle="1" w:styleId="BodyTextFirstIndentChar">
    <w:name w:val="Body Text First Indent Char"/>
    <w:basedOn w:val="BodyTextChar"/>
    <w:link w:val="BodyTextFirstIndent"/>
    <w:rsid w:val="0075120F"/>
    <w:rPr>
      <w:sz w:val="24"/>
      <w:szCs w:val="20"/>
    </w:rPr>
  </w:style>
  <w:style w:type="paragraph" w:styleId="BodyTextIndent">
    <w:name w:val="Body Text Indent"/>
    <w:basedOn w:val="Normal"/>
    <w:link w:val="BodyTextIndentChar"/>
    <w:unhideWhenUsed/>
    <w:qFormat/>
    <w:rsid w:val="0075120F"/>
    <w:pPr>
      <w:spacing w:after="120"/>
      <w:ind w:left="360"/>
    </w:pPr>
  </w:style>
  <w:style w:type="character" w:customStyle="1" w:styleId="BodyTextIndentChar">
    <w:name w:val="Body Text Indent Char"/>
    <w:basedOn w:val="DefaultParagraphFont"/>
    <w:link w:val="BodyTextIndent"/>
    <w:rsid w:val="0075120F"/>
    <w:rPr>
      <w:sz w:val="24"/>
      <w:szCs w:val="20"/>
    </w:rPr>
  </w:style>
  <w:style w:type="paragraph" w:styleId="BodyTextFirstIndent2">
    <w:name w:val="Body Text First Indent 2"/>
    <w:basedOn w:val="BodyTextIndent"/>
    <w:link w:val="BodyTextFirstIndent2Char"/>
    <w:unhideWhenUsed/>
    <w:rsid w:val="0075120F"/>
    <w:pPr>
      <w:ind w:firstLine="210"/>
    </w:pPr>
  </w:style>
  <w:style w:type="character" w:customStyle="1" w:styleId="BodyTextFirstIndent2Char">
    <w:name w:val="Body Text First Indent 2 Char"/>
    <w:basedOn w:val="BodyTextIndentChar"/>
    <w:link w:val="BodyTextFirstIndent2"/>
    <w:rsid w:val="0075120F"/>
    <w:rPr>
      <w:sz w:val="24"/>
      <w:szCs w:val="20"/>
    </w:rPr>
  </w:style>
  <w:style w:type="paragraph" w:styleId="BodyTextIndent2">
    <w:name w:val="Body Text Indent 2"/>
    <w:basedOn w:val="Normal"/>
    <w:link w:val="BodyTextIndent2Char"/>
    <w:unhideWhenUsed/>
    <w:rsid w:val="0075120F"/>
    <w:pPr>
      <w:spacing w:after="120" w:line="480" w:lineRule="auto"/>
      <w:ind w:left="360"/>
    </w:pPr>
  </w:style>
  <w:style w:type="character" w:customStyle="1" w:styleId="BodyTextIndent2Char">
    <w:name w:val="Body Text Indent 2 Char"/>
    <w:basedOn w:val="DefaultParagraphFont"/>
    <w:link w:val="BodyTextIndent2"/>
    <w:rsid w:val="0075120F"/>
    <w:rPr>
      <w:sz w:val="24"/>
      <w:szCs w:val="20"/>
    </w:rPr>
  </w:style>
  <w:style w:type="paragraph" w:styleId="BodyTextIndent3">
    <w:name w:val="Body Text Indent 3"/>
    <w:basedOn w:val="Normal"/>
    <w:link w:val="BodyTextIndent3Char"/>
    <w:unhideWhenUsed/>
    <w:rsid w:val="0075120F"/>
    <w:pPr>
      <w:spacing w:after="120"/>
      <w:ind w:left="360"/>
    </w:pPr>
    <w:rPr>
      <w:sz w:val="16"/>
      <w:szCs w:val="16"/>
    </w:rPr>
  </w:style>
  <w:style w:type="character" w:customStyle="1" w:styleId="BodyTextIndent3Char">
    <w:name w:val="Body Text Indent 3 Char"/>
    <w:basedOn w:val="DefaultParagraphFont"/>
    <w:link w:val="BodyTextIndent3"/>
    <w:rsid w:val="0075120F"/>
    <w:rPr>
      <w:sz w:val="16"/>
      <w:szCs w:val="16"/>
    </w:rPr>
  </w:style>
  <w:style w:type="paragraph" w:customStyle="1" w:styleId="BodyTextLeft">
    <w:name w:val="Body Text Left"/>
    <w:basedOn w:val="BodyText"/>
    <w:unhideWhenUsed/>
    <w:rsid w:val="0075120F"/>
    <w:pPr>
      <w:ind w:firstLine="0"/>
    </w:pPr>
  </w:style>
  <w:style w:type="character" w:styleId="FootnoteReference">
    <w:name w:val="footnote reference"/>
    <w:basedOn w:val="DefaultParagraphFont"/>
    <w:uiPriority w:val="99"/>
    <w:unhideWhenUsed/>
    <w:rsid w:val="0075120F"/>
    <w:rPr>
      <w:vertAlign w:val="superscript"/>
    </w:rPr>
  </w:style>
  <w:style w:type="paragraph" w:styleId="FootnoteText">
    <w:name w:val="footnote text"/>
    <w:basedOn w:val="Normal"/>
    <w:link w:val="FootnoteTextChar"/>
    <w:unhideWhenUsed/>
    <w:qFormat/>
    <w:rsid w:val="0075120F"/>
    <w:pPr>
      <w:spacing w:before="60"/>
      <w:ind w:left="216" w:hanging="216"/>
    </w:pPr>
    <w:rPr>
      <w:sz w:val="20"/>
    </w:rPr>
  </w:style>
  <w:style w:type="character" w:customStyle="1" w:styleId="FootnoteTextChar">
    <w:name w:val="Footnote Text Char"/>
    <w:basedOn w:val="DefaultParagraphFont"/>
    <w:link w:val="FootnoteText"/>
    <w:rsid w:val="0075120F"/>
    <w:rPr>
      <w:sz w:val="20"/>
      <w:szCs w:val="20"/>
    </w:rPr>
  </w:style>
  <w:style w:type="paragraph" w:customStyle="1" w:styleId="HeadingBody1">
    <w:name w:val="HeadingBody 1"/>
    <w:basedOn w:val="Normal"/>
    <w:unhideWhenUsed/>
    <w:qFormat/>
    <w:rsid w:val="0075120F"/>
    <w:pPr>
      <w:spacing w:after="240"/>
      <w:ind w:left="720"/>
    </w:pPr>
  </w:style>
  <w:style w:type="paragraph" w:customStyle="1" w:styleId="HeadingBody2">
    <w:name w:val="HeadingBody 2"/>
    <w:basedOn w:val="Normal"/>
    <w:unhideWhenUsed/>
    <w:qFormat/>
    <w:rsid w:val="00C20A23"/>
    <w:pPr>
      <w:spacing w:after="240"/>
      <w:ind w:left="720"/>
    </w:pPr>
  </w:style>
  <w:style w:type="paragraph" w:customStyle="1" w:styleId="HeadingBody3">
    <w:name w:val="HeadingBody 3"/>
    <w:basedOn w:val="Normal"/>
    <w:unhideWhenUsed/>
    <w:qFormat/>
    <w:rsid w:val="0075120F"/>
    <w:pPr>
      <w:spacing w:after="240"/>
      <w:ind w:left="2160"/>
    </w:pPr>
  </w:style>
  <w:style w:type="paragraph" w:customStyle="1" w:styleId="HeadingBody4">
    <w:name w:val="HeadingBody 4"/>
    <w:basedOn w:val="Normal"/>
    <w:unhideWhenUsed/>
    <w:qFormat/>
    <w:rsid w:val="0075120F"/>
    <w:pPr>
      <w:spacing w:after="240"/>
      <w:ind w:left="2880"/>
    </w:pPr>
  </w:style>
  <w:style w:type="paragraph" w:customStyle="1" w:styleId="HeadingBody5">
    <w:name w:val="HeadingBody 5"/>
    <w:basedOn w:val="Normal"/>
    <w:unhideWhenUsed/>
    <w:qFormat/>
    <w:rsid w:val="0075120F"/>
    <w:pPr>
      <w:spacing w:after="240"/>
      <w:ind w:left="3600"/>
    </w:pPr>
  </w:style>
  <w:style w:type="character" w:styleId="HTMLAcronym">
    <w:name w:val="HTML Acronym"/>
    <w:basedOn w:val="DefaultParagraphFont"/>
    <w:semiHidden/>
    <w:rsid w:val="0075120F"/>
  </w:style>
  <w:style w:type="paragraph" w:styleId="HTMLAddress">
    <w:name w:val="HTML Address"/>
    <w:basedOn w:val="Normal"/>
    <w:link w:val="HTMLAddressChar"/>
    <w:semiHidden/>
    <w:rsid w:val="0075120F"/>
    <w:rPr>
      <w:i/>
      <w:iCs/>
    </w:rPr>
  </w:style>
  <w:style w:type="character" w:customStyle="1" w:styleId="HTMLAddressChar">
    <w:name w:val="HTML Address Char"/>
    <w:basedOn w:val="DefaultParagraphFont"/>
    <w:link w:val="HTMLAddress"/>
    <w:semiHidden/>
    <w:rsid w:val="0075120F"/>
    <w:rPr>
      <w:i/>
      <w:iCs/>
      <w:sz w:val="24"/>
      <w:szCs w:val="20"/>
    </w:rPr>
  </w:style>
  <w:style w:type="character" w:styleId="HTMLCite">
    <w:name w:val="HTML Cite"/>
    <w:basedOn w:val="DefaultParagraphFont"/>
    <w:semiHidden/>
    <w:rsid w:val="0075120F"/>
    <w:rPr>
      <w:i/>
      <w:iCs/>
    </w:rPr>
  </w:style>
  <w:style w:type="character" w:styleId="HTMLCode">
    <w:name w:val="HTML Code"/>
    <w:basedOn w:val="DefaultParagraphFont"/>
    <w:semiHidden/>
    <w:rsid w:val="0075120F"/>
    <w:rPr>
      <w:rFonts w:ascii="Courier New" w:hAnsi="Courier New" w:cs="Courier New"/>
      <w:sz w:val="20"/>
      <w:szCs w:val="20"/>
    </w:rPr>
  </w:style>
  <w:style w:type="character" w:styleId="HTMLDefinition">
    <w:name w:val="HTML Definition"/>
    <w:basedOn w:val="DefaultParagraphFont"/>
    <w:semiHidden/>
    <w:rsid w:val="0075120F"/>
    <w:rPr>
      <w:i/>
      <w:iCs/>
    </w:rPr>
  </w:style>
  <w:style w:type="character" w:styleId="HTMLKeyboard">
    <w:name w:val="HTML Keyboard"/>
    <w:basedOn w:val="DefaultParagraphFont"/>
    <w:semiHidden/>
    <w:rsid w:val="0075120F"/>
    <w:rPr>
      <w:rFonts w:ascii="Courier New" w:hAnsi="Courier New" w:cs="Courier New"/>
      <w:sz w:val="20"/>
      <w:szCs w:val="20"/>
    </w:rPr>
  </w:style>
  <w:style w:type="paragraph" w:styleId="HTMLPreformatted">
    <w:name w:val="HTML Preformatted"/>
    <w:basedOn w:val="Normal"/>
    <w:link w:val="HTMLPreformattedChar"/>
    <w:semiHidden/>
    <w:rsid w:val="0075120F"/>
    <w:rPr>
      <w:rFonts w:ascii="Courier New" w:hAnsi="Courier New" w:cs="Courier New"/>
      <w:sz w:val="20"/>
    </w:rPr>
  </w:style>
  <w:style w:type="character" w:customStyle="1" w:styleId="HTMLPreformattedChar">
    <w:name w:val="HTML Preformatted Char"/>
    <w:basedOn w:val="DefaultParagraphFont"/>
    <w:link w:val="HTMLPreformatted"/>
    <w:semiHidden/>
    <w:rsid w:val="0075120F"/>
    <w:rPr>
      <w:rFonts w:ascii="Courier New" w:hAnsi="Courier New" w:cs="Courier New"/>
      <w:sz w:val="20"/>
      <w:szCs w:val="20"/>
    </w:rPr>
  </w:style>
  <w:style w:type="character" w:styleId="HTMLSample">
    <w:name w:val="HTML Sample"/>
    <w:basedOn w:val="DefaultParagraphFont"/>
    <w:semiHidden/>
    <w:rsid w:val="0075120F"/>
    <w:rPr>
      <w:rFonts w:ascii="Courier New" w:hAnsi="Courier New" w:cs="Courier New"/>
    </w:rPr>
  </w:style>
  <w:style w:type="character" w:styleId="HTMLTypewriter">
    <w:name w:val="HTML Typewriter"/>
    <w:basedOn w:val="DefaultParagraphFont"/>
    <w:semiHidden/>
    <w:rsid w:val="0075120F"/>
    <w:rPr>
      <w:rFonts w:ascii="Courier New" w:hAnsi="Courier New" w:cs="Courier New"/>
      <w:sz w:val="20"/>
      <w:szCs w:val="20"/>
    </w:rPr>
  </w:style>
  <w:style w:type="character" w:styleId="HTMLVariable">
    <w:name w:val="HTML Variable"/>
    <w:basedOn w:val="DefaultParagraphFont"/>
    <w:semiHidden/>
    <w:rsid w:val="0075120F"/>
    <w:rPr>
      <w:i/>
      <w:iCs/>
    </w:rPr>
  </w:style>
  <w:style w:type="character" w:styleId="Hyperlink">
    <w:name w:val="Hyperlink"/>
    <w:basedOn w:val="DefaultParagraphFont"/>
    <w:semiHidden/>
    <w:rsid w:val="0075120F"/>
    <w:rPr>
      <w:color w:val="0000FF"/>
      <w:u w:val="single"/>
    </w:rPr>
  </w:style>
  <w:style w:type="character" w:styleId="LineNumber">
    <w:name w:val="line number"/>
    <w:basedOn w:val="DefaultParagraphFont"/>
    <w:semiHidden/>
    <w:rsid w:val="0075120F"/>
  </w:style>
  <w:style w:type="paragraph" w:styleId="List">
    <w:name w:val="List"/>
    <w:basedOn w:val="Normal"/>
    <w:semiHidden/>
    <w:rsid w:val="0075120F"/>
    <w:pPr>
      <w:ind w:left="360" w:hanging="360"/>
    </w:pPr>
  </w:style>
  <w:style w:type="paragraph" w:styleId="List2">
    <w:name w:val="List 2"/>
    <w:basedOn w:val="Normal"/>
    <w:semiHidden/>
    <w:rsid w:val="0075120F"/>
    <w:pPr>
      <w:ind w:left="720" w:hanging="360"/>
    </w:pPr>
  </w:style>
  <w:style w:type="paragraph" w:styleId="List3">
    <w:name w:val="List 3"/>
    <w:basedOn w:val="Normal"/>
    <w:semiHidden/>
    <w:rsid w:val="0075120F"/>
    <w:pPr>
      <w:ind w:left="1080" w:hanging="360"/>
    </w:pPr>
  </w:style>
  <w:style w:type="paragraph" w:styleId="List4">
    <w:name w:val="List 4"/>
    <w:basedOn w:val="Normal"/>
    <w:semiHidden/>
    <w:rsid w:val="0075120F"/>
    <w:pPr>
      <w:ind w:left="1440" w:hanging="360"/>
    </w:pPr>
  </w:style>
  <w:style w:type="paragraph" w:styleId="List5">
    <w:name w:val="List 5"/>
    <w:basedOn w:val="Normal"/>
    <w:semiHidden/>
    <w:rsid w:val="0075120F"/>
    <w:pPr>
      <w:ind w:left="1800" w:hanging="360"/>
    </w:pPr>
  </w:style>
  <w:style w:type="paragraph" w:styleId="ListBullet2">
    <w:name w:val="List Bullet 2"/>
    <w:basedOn w:val="Normal"/>
    <w:autoRedefine/>
    <w:semiHidden/>
    <w:rsid w:val="0075120F"/>
    <w:pPr>
      <w:numPr>
        <w:numId w:val="17"/>
      </w:numPr>
    </w:pPr>
  </w:style>
  <w:style w:type="paragraph" w:styleId="ListBullet3">
    <w:name w:val="List Bullet 3"/>
    <w:basedOn w:val="Normal"/>
    <w:autoRedefine/>
    <w:semiHidden/>
    <w:rsid w:val="0075120F"/>
    <w:pPr>
      <w:numPr>
        <w:numId w:val="18"/>
      </w:numPr>
    </w:pPr>
  </w:style>
  <w:style w:type="paragraph" w:styleId="ListBullet4">
    <w:name w:val="List Bullet 4"/>
    <w:basedOn w:val="Normal"/>
    <w:autoRedefine/>
    <w:semiHidden/>
    <w:rsid w:val="0075120F"/>
    <w:pPr>
      <w:numPr>
        <w:numId w:val="19"/>
      </w:numPr>
    </w:pPr>
  </w:style>
  <w:style w:type="paragraph" w:styleId="ListBullet5">
    <w:name w:val="List Bullet 5"/>
    <w:basedOn w:val="Normal"/>
    <w:autoRedefine/>
    <w:semiHidden/>
    <w:rsid w:val="0075120F"/>
    <w:pPr>
      <w:numPr>
        <w:numId w:val="20"/>
      </w:numPr>
    </w:pPr>
  </w:style>
  <w:style w:type="paragraph" w:styleId="ListContinue2">
    <w:name w:val="List Continue 2"/>
    <w:basedOn w:val="Normal"/>
    <w:semiHidden/>
    <w:rsid w:val="0075120F"/>
    <w:pPr>
      <w:spacing w:after="120"/>
      <w:ind w:left="720"/>
    </w:pPr>
  </w:style>
  <w:style w:type="paragraph" w:styleId="ListContinue3">
    <w:name w:val="List Continue 3"/>
    <w:basedOn w:val="Normal"/>
    <w:semiHidden/>
    <w:rsid w:val="0075120F"/>
    <w:pPr>
      <w:spacing w:after="120"/>
      <w:ind w:left="1080"/>
    </w:pPr>
  </w:style>
  <w:style w:type="paragraph" w:styleId="ListContinue4">
    <w:name w:val="List Continue 4"/>
    <w:basedOn w:val="Normal"/>
    <w:semiHidden/>
    <w:rsid w:val="0075120F"/>
    <w:pPr>
      <w:spacing w:after="120"/>
      <w:ind w:left="1440"/>
    </w:pPr>
  </w:style>
  <w:style w:type="paragraph" w:styleId="ListContinue5">
    <w:name w:val="List Continue 5"/>
    <w:basedOn w:val="Normal"/>
    <w:semiHidden/>
    <w:rsid w:val="0075120F"/>
    <w:pPr>
      <w:spacing w:after="120"/>
      <w:ind w:left="1800"/>
    </w:pPr>
  </w:style>
  <w:style w:type="paragraph" w:styleId="ListNumber">
    <w:name w:val="List Number"/>
    <w:basedOn w:val="Normal"/>
    <w:semiHidden/>
    <w:rsid w:val="0075120F"/>
    <w:pPr>
      <w:numPr>
        <w:numId w:val="21"/>
      </w:numPr>
    </w:pPr>
  </w:style>
  <w:style w:type="paragraph" w:styleId="ListNumber2">
    <w:name w:val="List Number 2"/>
    <w:basedOn w:val="Normal"/>
    <w:semiHidden/>
    <w:rsid w:val="0075120F"/>
    <w:pPr>
      <w:numPr>
        <w:numId w:val="22"/>
      </w:numPr>
    </w:pPr>
  </w:style>
  <w:style w:type="paragraph" w:styleId="ListNumber3">
    <w:name w:val="List Number 3"/>
    <w:basedOn w:val="Normal"/>
    <w:semiHidden/>
    <w:rsid w:val="0075120F"/>
    <w:pPr>
      <w:numPr>
        <w:numId w:val="23"/>
      </w:numPr>
    </w:pPr>
  </w:style>
  <w:style w:type="paragraph" w:styleId="ListNumber4">
    <w:name w:val="List Number 4"/>
    <w:basedOn w:val="Normal"/>
    <w:semiHidden/>
    <w:rsid w:val="0075120F"/>
    <w:pPr>
      <w:numPr>
        <w:numId w:val="24"/>
      </w:numPr>
    </w:pPr>
  </w:style>
  <w:style w:type="paragraph" w:styleId="ListNumber5">
    <w:name w:val="List Number 5"/>
    <w:basedOn w:val="Normal"/>
    <w:semiHidden/>
    <w:rsid w:val="0075120F"/>
    <w:pPr>
      <w:numPr>
        <w:numId w:val="25"/>
      </w:numPr>
    </w:pPr>
  </w:style>
  <w:style w:type="paragraph" w:styleId="NormalIndent">
    <w:name w:val="Normal Indent"/>
    <w:basedOn w:val="Normal"/>
    <w:unhideWhenUsed/>
    <w:qFormat/>
    <w:rsid w:val="0075120F"/>
    <w:pPr>
      <w:ind w:left="720"/>
    </w:pPr>
  </w:style>
  <w:style w:type="paragraph" w:customStyle="1" w:styleId="NoteHeading1">
    <w:name w:val="Note Heading1"/>
    <w:basedOn w:val="Normal"/>
    <w:next w:val="Normal"/>
    <w:link w:val="NoteHeadingChar"/>
    <w:semiHidden/>
    <w:rsid w:val="0075120F"/>
  </w:style>
  <w:style w:type="character" w:customStyle="1" w:styleId="NoteHeadingChar">
    <w:name w:val="Note Heading Char"/>
    <w:basedOn w:val="DefaultParagraphFont"/>
    <w:link w:val="NoteHeading1"/>
    <w:semiHidden/>
    <w:rsid w:val="0075120F"/>
    <w:rPr>
      <w:sz w:val="24"/>
      <w:szCs w:val="20"/>
    </w:rPr>
  </w:style>
  <w:style w:type="character" w:styleId="PageNumber">
    <w:name w:val="page number"/>
    <w:basedOn w:val="DefaultParagraphFont"/>
    <w:semiHidden/>
    <w:rsid w:val="0075120F"/>
    <w:rPr>
      <w:sz w:val="20"/>
    </w:rPr>
  </w:style>
  <w:style w:type="paragraph" w:styleId="Signature">
    <w:name w:val="Signature"/>
    <w:basedOn w:val="Normal"/>
    <w:link w:val="SignatureChar"/>
    <w:unhideWhenUsed/>
    <w:qFormat/>
    <w:rsid w:val="0075120F"/>
  </w:style>
  <w:style w:type="character" w:customStyle="1" w:styleId="SignatureChar">
    <w:name w:val="Signature Char"/>
    <w:basedOn w:val="DefaultParagraphFont"/>
    <w:link w:val="Signature"/>
    <w:rsid w:val="0075120F"/>
    <w:rPr>
      <w:sz w:val="24"/>
      <w:szCs w:val="20"/>
    </w:rPr>
  </w:style>
  <w:style w:type="paragraph" w:styleId="Subtitle">
    <w:name w:val="Subtitle"/>
    <w:basedOn w:val="Normal"/>
    <w:link w:val="SubtitleChar"/>
    <w:unhideWhenUsed/>
    <w:qFormat/>
    <w:rsid w:val="0075120F"/>
    <w:pPr>
      <w:spacing w:after="240"/>
      <w:jc w:val="center"/>
      <w:outlineLvl w:val="1"/>
    </w:pPr>
    <w:rPr>
      <w:kern w:val="28"/>
      <w:u w:val="single"/>
    </w:rPr>
  </w:style>
  <w:style w:type="character" w:customStyle="1" w:styleId="SubtitleChar">
    <w:name w:val="Subtitle Char"/>
    <w:basedOn w:val="DefaultParagraphFont"/>
    <w:link w:val="Subtitle"/>
    <w:rsid w:val="0075120F"/>
    <w:rPr>
      <w:kern w:val="28"/>
      <w:sz w:val="24"/>
      <w:szCs w:val="20"/>
      <w:u w:val="single"/>
    </w:rPr>
  </w:style>
  <w:style w:type="paragraph" w:styleId="TOAHeading">
    <w:name w:val="toa heading"/>
    <w:basedOn w:val="Normal"/>
    <w:next w:val="Normal"/>
    <w:semiHidden/>
    <w:rsid w:val="0075120F"/>
    <w:pPr>
      <w:spacing w:before="120"/>
    </w:pPr>
    <w:rPr>
      <w:rFonts w:ascii="Arial" w:hAnsi="Arial" w:cs="Arial"/>
      <w:b/>
      <w:bCs/>
      <w:szCs w:val="24"/>
    </w:rPr>
  </w:style>
  <w:style w:type="paragraph" w:styleId="TOC1">
    <w:name w:val="toc 1"/>
    <w:basedOn w:val="Normal"/>
    <w:next w:val="Normal"/>
    <w:unhideWhenUsed/>
    <w:qFormat/>
    <w:rsid w:val="0075120F"/>
    <w:pPr>
      <w:tabs>
        <w:tab w:val="right" w:leader="dot" w:pos="9350"/>
      </w:tabs>
      <w:spacing w:after="120"/>
      <w:ind w:left="360" w:hanging="360"/>
    </w:pPr>
    <w:rPr>
      <w:noProof/>
    </w:rPr>
  </w:style>
  <w:style w:type="paragraph" w:styleId="TOC2">
    <w:name w:val="toc 2"/>
    <w:basedOn w:val="Normal"/>
    <w:next w:val="Normal"/>
    <w:unhideWhenUsed/>
    <w:qFormat/>
    <w:rsid w:val="0075120F"/>
    <w:pPr>
      <w:tabs>
        <w:tab w:val="right" w:leader="dot" w:pos="9350"/>
      </w:tabs>
      <w:spacing w:after="120"/>
      <w:ind w:left="720" w:hanging="360"/>
    </w:pPr>
    <w:rPr>
      <w:noProof/>
    </w:rPr>
  </w:style>
  <w:style w:type="paragraph" w:styleId="TOC3">
    <w:name w:val="toc 3"/>
    <w:basedOn w:val="Normal"/>
    <w:next w:val="Normal"/>
    <w:unhideWhenUsed/>
    <w:qFormat/>
    <w:rsid w:val="0075120F"/>
    <w:pPr>
      <w:tabs>
        <w:tab w:val="right" w:leader="dot" w:pos="9350"/>
      </w:tabs>
      <w:ind w:left="1080" w:hanging="360"/>
    </w:pPr>
    <w:rPr>
      <w:noProof/>
    </w:rPr>
  </w:style>
  <w:style w:type="paragraph" w:styleId="TOC4">
    <w:name w:val="toc 4"/>
    <w:basedOn w:val="Normal"/>
    <w:next w:val="Normal"/>
    <w:unhideWhenUsed/>
    <w:qFormat/>
    <w:rsid w:val="0075120F"/>
    <w:pPr>
      <w:tabs>
        <w:tab w:val="right" w:leader="dot" w:pos="9350"/>
      </w:tabs>
      <w:ind w:left="1440" w:hanging="360"/>
    </w:pPr>
    <w:rPr>
      <w:noProof/>
    </w:rPr>
  </w:style>
  <w:style w:type="paragraph" w:styleId="TOC5">
    <w:name w:val="toc 5"/>
    <w:basedOn w:val="Normal"/>
    <w:next w:val="Normal"/>
    <w:unhideWhenUsed/>
    <w:qFormat/>
    <w:rsid w:val="0075120F"/>
    <w:pPr>
      <w:tabs>
        <w:tab w:val="right" w:leader="dot" w:pos="9350"/>
      </w:tabs>
      <w:ind w:left="1800" w:hanging="360"/>
    </w:pPr>
    <w:rPr>
      <w:noProof/>
    </w:rPr>
  </w:style>
  <w:style w:type="paragraph" w:styleId="TOC6">
    <w:name w:val="toc 6"/>
    <w:basedOn w:val="Normal"/>
    <w:next w:val="Normal"/>
    <w:unhideWhenUsed/>
    <w:qFormat/>
    <w:rsid w:val="0075120F"/>
    <w:pPr>
      <w:tabs>
        <w:tab w:val="right" w:leader="dot" w:pos="9350"/>
      </w:tabs>
      <w:ind w:left="2160" w:hanging="360"/>
    </w:pPr>
    <w:rPr>
      <w:noProof/>
    </w:rPr>
  </w:style>
  <w:style w:type="paragraph" w:styleId="TOC7">
    <w:name w:val="toc 7"/>
    <w:basedOn w:val="Normal"/>
    <w:next w:val="Normal"/>
    <w:unhideWhenUsed/>
    <w:qFormat/>
    <w:rsid w:val="0075120F"/>
    <w:pPr>
      <w:tabs>
        <w:tab w:val="right" w:leader="dot" w:pos="9350"/>
      </w:tabs>
      <w:ind w:left="2520" w:hanging="360"/>
    </w:pPr>
    <w:rPr>
      <w:noProof/>
    </w:rPr>
  </w:style>
  <w:style w:type="paragraph" w:styleId="TOC8">
    <w:name w:val="toc 8"/>
    <w:basedOn w:val="Normal"/>
    <w:next w:val="Normal"/>
    <w:unhideWhenUsed/>
    <w:qFormat/>
    <w:rsid w:val="0075120F"/>
    <w:pPr>
      <w:tabs>
        <w:tab w:val="right" w:leader="dot" w:pos="9350"/>
      </w:tabs>
      <w:ind w:left="2880" w:hanging="360"/>
    </w:pPr>
    <w:rPr>
      <w:noProof/>
    </w:rPr>
  </w:style>
  <w:style w:type="paragraph" w:styleId="TOC9">
    <w:name w:val="toc 9"/>
    <w:basedOn w:val="Normal"/>
    <w:next w:val="Normal"/>
    <w:unhideWhenUsed/>
    <w:qFormat/>
    <w:rsid w:val="0075120F"/>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75120F"/>
    <w:rPr>
      <w:sz w:val="20"/>
    </w:rPr>
  </w:style>
  <w:style w:type="character" w:customStyle="1" w:styleId="EndnoteTextChar">
    <w:name w:val="Endnote Text Char"/>
    <w:basedOn w:val="DefaultParagraphFont"/>
    <w:link w:val="EndnoteText"/>
    <w:uiPriority w:val="99"/>
    <w:semiHidden/>
    <w:rsid w:val="0075120F"/>
    <w:rPr>
      <w:sz w:val="20"/>
      <w:szCs w:val="20"/>
    </w:rPr>
  </w:style>
  <w:style w:type="character" w:styleId="EndnoteReference">
    <w:name w:val="endnote reference"/>
    <w:basedOn w:val="DefaultParagraphFont"/>
    <w:uiPriority w:val="99"/>
    <w:semiHidden/>
    <w:unhideWhenUsed/>
    <w:rsid w:val="0075120F"/>
    <w:rPr>
      <w:vertAlign w:val="superscript"/>
    </w:rPr>
  </w:style>
  <w:style w:type="paragraph" w:styleId="BalloonText">
    <w:name w:val="Balloon Text"/>
    <w:basedOn w:val="Normal"/>
    <w:link w:val="BalloonTextChar"/>
    <w:uiPriority w:val="99"/>
    <w:semiHidden/>
    <w:unhideWhenUsed/>
    <w:rsid w:val="0075120F"/>
    <w:rPr>
      <w:rFonts w:ascii="Tahoma" w:hAnsi="Tahoma" w:cs="Tahoma"/>
      <w:sz w:val="16"/>
      <w:szCs w:val="16"/>
    </w:rPr>
  </w:style>
  <w:style w:type="character" w:customStyle="1" w:styleId="BalloonTextChar">
    <w:name w:val="Balloon Text Char"/>
    <w:basedOn w:val="DefaultParagraphFont"/>
    <w:link w:val="BalloonText"/>
    <w:uiPriority w:val="99"/>
    <w:semiHidden/>
    <w:rsid w:val="0075120F"/>
    <w:rPr>
      <w:rFonts w:ascii="Tahoma" w:hAnsi="Tahoma" w:cs="Tahoma"/>
      <w:sz w:val="16"/>
      <w:szCs w:val="16"/>
    </w:rPr>
  </w:style>
  <w:style w:type="paragraph" w:styleId="Bibliography">
    <w:name w:val="Bibliography"/>
    <w:basedOn w:val="Normal"/>
    <w:next w:val="Normal"/>
    <w:uiPriority w:val="37"/>
    <w:semiHidden/>
    <w:unhideWhenUsed/>
    <w:rsid w:val="0075120F"/>
  </w:style>
  <w:style w:type="character" w:styleId="BookTitle">
    <w:name w:val="Book Title"/>
    <w:basedOn w:val="DefaultParagraphFont"/>
    <w:uiPriority w:val="33"/>
    <w:rsid w:val="0075120F"/>
    <w:rPr>
      <w:b/>
      <w:bCs/>
      <w:smallCaps/>
      <w:spacing w:val="5"/>
    </w:rPr>
  </w:style>
  <w:style w:type="paragraph" w:styleId="Caption">
    <w:name w:val="caption"/>
    <w:basedOn w:val="Normal"/>
    <w:next w:val="Normal"/>
    <w:uiPriority w:val="35"/>
    <w:semiHidden/>
    <w:unhideWhenUsed/>
    <w:rsid w:val="0075120F"/>
    <w:pPr>
      <w:spacing w:after="200"/>
    </w:pPr>
    <w:rPr>
      <w:b/>
      <w:bCs/>
      <w:color w:val="4F81BD" w:themeColor="accent1"/>
      <w:sz w:val="18"/>
      <w:szCs w:val="18"/>
    </w:rPr>
  </w:style>
  <w:style w:type="paragraph" w:styleId="Closing">
    <w:name w:val="Closing"/>
    <w:basedOn w:val="Normal"/>
    <w:link w:val="ClosingChar"/>
    <w:uiPriority w:val="99"/>
    <w:semiHidden/>
    <w:unhideWhenUsed/>
    <w:rsid w:val="0075120F"/>
    <w:pPr>
      <w:ind w:left="4320"/>
    </w:pPr>
  </w:style>
  <w:style w:type="character" w:customStyle="1" w:styleId="ClosingChar">
    <w:name w:val="Closing Char"/>
    <w:basedOn w:val="DefaultParagraphFont"/>
    <w:link w:val="Closing"/>
    <w:uiPriority w:val="99"/>
    <w:semiHidden/>
    <w:rsid w:val="0075120F"/>
    <w:rPr>
      <w:sz w:val="24"/>
      <w:szCs w:val="20"/>
    </w:rPr>
  </w:style>
  <w:style w:type="character" w:styleId="CommentReference">
    <w:name w:val="annotation reference"/>
    <w:basedOn w:val="DefaultParagraphFont"/>
    <w:uiPriority w:val="99"/>
    <w:semiHidden/>
    <w:unhideWhenUsed/>
    <w:rsid w:val="0075120F"/>
    <w:rPr>
      <w:sz w:val="16"/>
      <w:szCs w:val="16"/>
    </w:rPr>
  </w:style>
  <w:style w:type="paragraph" w:styleId="CommentText">
    <w:name w:val="annotation text"/>
    <w:basedOn w:val="Normal"/>
    <w:link w:val="CommentTextChar"/>
    <w:unhideWhenUsed/>
    <w:rsid w:val="0075120F"/>
    <w:rPr>
      <w:sz w:val="20"/>
    </w:rPr>
  </w:style>
  <w:style w:type="character" w:customStyle="1" w:styleId="CommentTextChar">
    <w:name w:val="Comment Text Char"/>
    <w:basedOn w:val="DefaultParagraphFont"/>
    <w:link w:val="CommentText"/>
    <w:rsid w:val="0075120F"/>
    <w:rPr>
      <w:sz w:val="20"/>
      <w:szCs w:val="20"/>
    </w:rPr>
  </w:style>
  <w:style w:type="paragraph" w:styleId="CommentSubject">
    <w:name w:val="annotation subject"/>
    <w:basedOn w:val="CommentText"/>
    <w:next w:val="CommentText"/>
    <w:link w:val="CommentSubjectChar"/>
    <w:uiPriority w:val="99"/>
    <w:semiHidden/>
    <w:unhideWhenUsed/>
    <w:rsid w:val="0075120F"/>
    <w:rPr>
      <w:b/>
      <w:bCs/>
    </w:rPr>
  </w:style>
  <w:style w:type="character" w:customStyle="1" w:styleId="CommentSubjectChar">
    <w:name w:val="Comment Subject Char"/>
    <w:basedOn w:val="CommentTextChar"/>
    <w:link w:val="CommentSubject"/>
    <w:uiPriority w:val="99"/>
    <w:semiHidden/>
    <w:rsid w:val="0075120F"/>
    <w:rPr>
      <w:b/>
      <w:bCs/>
      <w:sz w:val="20"/>
      <w:szCs w:val="20"/>
    </w:rPr>
  </w:style>
  <w:style w:type="paragraph" w:styleId="Date">
    <w:name w:val="Date"/>
    <w:basedOn w:val="Normal"/>
    <w:next w:val="Normal"/>
    <w:link w:val="DateChar"/>
    <w:uiPriority w:val="99"/>
    <w:semiHidden/>
    <w:unhideWhenUsed/>
    <w:rsid w:val="0075120F"/>
  </w:style>
  <w:style w:type="character" w:customStyle="1" w:styleId="DateChar">
    <w:name w:val="Date Char"/>
    <w:basedOn w:val="DefaultParagraphFont"/>
    <w:link w:val="Date"/>
    <w:uiPriority w:val="99"/>
    <w:semiHidden/>
    <w:rsid w:val="0075120F"/>
    <w:rPr>
      <w:sz w:val="24"/>
      <w:szCs w:val="20"/>
    </w:rPr>
  </w:style>
  <w:style w:type="paragraph" w:styleId="DocumentMap">
    <w:name w:val="Document Map"/>
    <w:basedOn w:val="Normal"/>
    <w:link w:val="DocumentMapChar"/>
    <w:uiPriority w:val="99"/>
    <w:semiHidden/>
    <w:unhideWhenUsed/>
    <w:rsid w:val="0075120F"/>
    <w:rPr>
      <w:rFonts w:ascii="Tahoma" w:hAnsi="Tahoma" w:cs="Tahoma"/>
      <w:sz w:val="16"/>
      <w:szCs w:val="16"/>
    </w:rPr>
  </w:style>
  <w:style w:type="character" w:customStyle="1" w:styleId="DocumentMapChar">
    <w:name w:val="Document Map Char"/>
    <w:basedOn w:val="DefaultParagraphFont"/>
    <w:link w:val="DocumentMap"/>
    <w:uiPriority w:val="99"/>
    <w:semiHidden/>
    <w:rsid w:val="0075120F"/>
    <w:rPr>
      <w:rFonts w:ascii="Tahoma" w:hAnsi="Tahoma" w:cs="Tahoma"/>
      <w:sz w:val="16"/>
      <w:szCs w:val="16"/>
    </w:rPr>
  </w:style>
  <w:style w:type="paragraph" w:styleId="E-mailSignature">
    <w:name w:val="E-mail Signature"/>
    <w:basedOn w:val="Normal"/>
    <w:link w:val="E-mailSignatureChar"/>
    <w:uiPriority w:val="99"/>
    <w:semiHidden/>
    <w:unhideWhenUsed/>
    <w:rsid w:val="0075120F"/>
  </w:style>
  <w:style w:type="character" w:customStyle="1" w:styleId="E-mailSignatureChar">
    <w:name w:val="E-mail Signature Char"/>
    <w:basedOn w:val="DefaultParagraphFont"/>
    <w:link w:val="E-mailSignature"/>
    <w:uiPriority w:val="99"/>
    <w:semiHidden/>
    <w:rsid w:val="0075120F"/>
    <w:rPr>
      <w:sz w:val="24"/>
      <w:szCs w:val="20"/>
    </w:rPr>
  </w:style>
  <w:style w:type="character" w:styleId="Emphasis">
    <w:name w:val="Emphasis"/>
    <w:basedOn w:val="DefaultParagraphFont"/>
    <w:unhideWhenUsed/>
    <w:qFormat/>
    <w:rsid w:val="0075120F"/>
    <w:rPr>
      <w:i/>
      <w:iCs/>
    </w:rPr>
  </w:style>
  <w:style w:type="paragraph" w:styleId="EnvelopeAddress">
    <w:name w:val="envelope address"/>
    <w:basedOn w:val="Normal"/>
    <w:uiPriority w:val="99"/>
    <w:semiHidden/>
    <w:unhideWhenUsed/>
    <w:rsid w:val="0075120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5120F"/>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120F"/>
    <w:rPr>
      <w:color w:val="800080" w:themeColor="followedHyperlink"/>
      <w:u w:val="single"/>
    </w:rPr>
  </w:style>
  <w:style w:type="paragraph" w:styleId="Index1">
    <w:name w:val="index 1"/>
    <w:basedOn w:val="Normal"/>
    <w:next w:val="Normal"/>
    <w:autoRedefine/>
    <w:uiPriority w:val="99"/>
    <w:semiHidden/>
    <w:unhideWhenUsed/>
    <w:rsid w:val="0075120F"/>
    <w:pPr>
      <w:ind w:left="240" w:hanging="240"/>
    </w:pPr>
  </w:style>
  <w:style w:type="paragraph" w:styleId="Index2">
    <w:name w:val="index 2"/>
    <w:basedOn w:val="Normal"/>
    <w:next w:val="Normal"/>
    <w:autoRedefine/>
    <w:uiPriority w:val="99"/>
    <w:semiHidden/>
    <w:unhideWhenUsed/>
    <w:rsid w:val="0075120F"/>
    <w:pPr>
      <w:ind w:left="480" w:hanging="240"/>
    </w:pPr>
  </w:style>
  <w:style w:type="paragraph" w:styleId="Index3">
    <w:name w:val="index 3"/>
    <w:basedOn w:val="Normal"/>
    <w:next w:val="Normal"/>
    <w:autoRedefine/>
    <w:uiPriority w:val="99"/>
    <w:semiHidden/>
    <w:unhideWhenUsed/>
    <w:rsid w:val="0075120F"/>
    <w:pPr>
      <w:ind w:left="720" w:hanging="240"/>
    </w:pPr>
  </w:style>
  <w:style w:type="paragraph" w:styleId="Index4">
    <w:name w:val="index 4"/>
    <w:basedOn w:val="Normal"/>
    <w:next w:val="Normal"/>
    <w:autoRedefine/>
    <w:uiPriority w:val="99"/>
    <w:semiHidden/>
    <w:unhideWhenUsed/>
    <w:rsid w:val="0075120F"/>
    <w:pPr>
      <w:ind w:left="960" w:hanging="240"/>
    </w:pPr>
  </w:style>
  <w:style w:type="paragraph" w:styleId="Index5">
    <w:name w:val="index 5"/>
    <w:basedOn w:val="Normal"/>
    <w:next w:val="Normal"/>
    <w:autoRedefine/>
    <w:uiPriority w:val="99"/>
    <w:semiHidden/>
    <w:unhideWhenUsed/>
    <w:rsid w:val="0075120F"/>
    <w:pPr>
      <w:ind w:left="1200" w:hanging="240"/>
    </w:pPr>
  </w:style>
  <w:style w:type="paragraph" w:styleId="Index6">
    <w:name w:val="index 6"/>
    <w:basedOn w:val="Normal"/>
    <w:next w:val="Normal"/>
    <w:autoRedefine/>
    <w:uiPriority w:val="99"/>
    <w:semiHidden/>
    <w:unhideWhenUsed/>
    <w:rsid w:val="0075120F"/>
    <w:pPr>
      <w:ind w:left="1440" w:hanging="240"/>
    </w:pPr>
  </w:style>
  <w:style w:type="paragraph" w:styleId="Index7">
    <w:name w:val="index 7"/>
    <w:basedOn w:val="Normal"/>
    <w:next w:val="Normal"/>
    <w:autoRedefine/>
    <w:uiPriority w:val="99"/>
    <w:semiHidden/>
    <w:unhideWhenUsed/>
    <w:rsid w:val="0075120F"/>
    <w:pPr>
      <w:ind w:left="1680" w:hanging="240"/>
    </w:pPr>
  </w:style>
  <w:style w:type="paragraph" w:styleId="Index8">
    <w:name w:val="index 8"/>
    <w:basedOn w:val="Normal"/>
    <w:next w:val="Normal"/>
    <w:autoRedefine/>
    <w:uiPriority w:val="99"/>
    <w:semiHidden/>
    <w:unhideWhenUsed/>
    <w:rsid w:val="0075120F"/>
    <w:pPr>
      <w:ind w:left="1920" w:hanging="240"/>
    </w:pPr>
  </w:style>
  <w:style w:type="paragraph" w:styleId="Index9">
    <w:name w:val="index 9"/>
    <w:basedOn w:val="Normal"/>
    <w:next w:val="Normal"/>
    <w:autoRedefine/>
    <w:uiPriority w:val="99"/>
    <w:semiHidden/>
    <w:unhideWhenUsed/>
    <w:rsid w:val="0075120F"/>
    <w:pPr>
      <w:ind w:left="2160" w:hanging="240"/>
    </w:pPr>
  </w:style>
  <w:style w:type="paragraph" w:styleId="IndexHeading">
    <w:name w:val="index heading"/>
    <w:basedOn w:val="Normal"/>
    <w:next w:val="Index1"/>
    <w:uiPriority w:val="99"/>
    <w:semiHidden/>
    <w:unhideWhenUsed/>
    <w:rsid w:val="0075120F"/>
    <w:rPr>
      <w:rFonts w:asciiTheme="majorHAnsi" w:eastAsiaTheme="majorEastAsia" w:hAnsiTheme="majorHAnsi" w:cstheme="majorBidi"/>
      <w:b/>
      <w:bCs/>
    </w:rPr>
  </w:style>
  <w:style w:type="character" w:styleId="IntenseEmphasis">
    <w:name w:val="Intense Emphasis"/>
    <w:basedOn w:val="DefaultParagraphFont"/>
    <w:uiPriority w:val="21"/>
    <w:rsid w:val="0075120F"/>
    <w:rPr>
      <w:b/>
      <w:bCs/>
      <w:i/>
      <w:iCs/>
      <w:color w:val="4F81BD" w:themeColor="accent1"/>
    </w:rPr>
  </w:style>
  <w:style w:type="paragraph" w:styleId="IntenseQuote">
    <w:name w:val="Intense Quote"/>
    <w:basedOn w:val="Normal"/>
    <w:next w:val="Normal"/>
    <w:link w:val="IntenseQuoteChar"/>
    <w:uiPriority w:val="30"/>
    <w:rsid w:val="007512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20F"/>
    <w:rPr>
      <w:b/>
      <w:bCs/>
      <w:i/>
      <w:iCs/>
      <w:color w:val="4F81BD" w:themeColor="accent1"/>
      <w:sz w:val="24"/>
      <w:szCs w:val="20"/>
    </w:rPr>
  </w:style>
  <w:style w:type="character" w:styleId="IntenseReference">
    <w:name w:val="Intense Reference"/>
    <w:basedOn w:val="DefaultParagraphFont"/>
    <w:uiPriority w:val="32"/>
    <w:rsid w:val="0075120F"/>
    <w:rPr>
      <w:b/>
      <w:bCs/>
      <w:smallCaps/>
      <w:color w:val="C0504D" w:themeColor="accent2"/>
      <w:spacing w:val="5"/>
      <w:u w:val="single"/>
    </w:rPr>
  </w:style>
  <w:style w:type="paragraph" w:styleId="ListBullet">
    <w:name w:val="List Bullet"/>
    <w:basedOn w:val="Normal"/>
    <w:uiPriority w:val="99"/>
    <w:semiHidden/>
    <w:unhideWhenUsed/>
    <w:rsid w:val="0075120F"/>
    <w:pPr>
      <w:numPr>
        <w:numId w:val="16"/>
      </w:numPr>
      <w:contextualSpacing/>
    </w:pPr>
  </w:style>
  <w:style w:type="paragraph" w:styleId="ListContinue">
    <w:name w:val="List Continue"/>
    <w:basedOn w:val="Normal"/>
    <w:uiPriority w:val="99"/>
    <w:semiHidden/>
    <w:unhideWhenUsed/>
    <w:rsid w:val="0075120F"/>
    <w:pPr>
      <w:spacing w:after="120"/>
      <w:ind w:left="360"/>
      <w:contextualSpacing/>
    </w:pPr>
  </w:style>
  <w:style w:type="paragraph" w:styleId="ListParagraph">
    <w:name w:val="List Paragraph"/>
    <w:basedOn w:val="Normal"/>
    <w:uiPriority w:val="34"/>
    <w:rsid w:val="0075120F"/>
    <w:pPr>
      <w:ind w:left="720"/>
      <w:contextualSpacing/>
    </w:pPr>
  </w:style>
  <w:style w:type="paragraph" w:styleId="MacroText">
    <w:name w:val="macro"/>
    <w:link w:val="MacroTextChar"/>
    <w:uiPriority w:val="99"/>
    <w:semiHidden/>
    <w:unhideWhenUsed/>
    <w:rsid w:val="0075120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20F"/>
    <w:rPr>
      <w:rFonts w:ascii="Consolas" w:hAnsi="Consolas" w:cs="Consolas"/>
      <w:sz w:val="20"/>
      <w:szCs w:val="20"/>
    </w:rPr>
  </w:style>
  <w:style w:type="paragraph" w:styleId="MessageHeader">
    <w:name w:val="Message Header"/>
    <w:basedOn w:val="Normal"/>
    <w:link w:val="MessageHeaderChar"/>
    <w:uiPriority w:val="99"/>
    <w:semiHidden/>
    <w:unhideWhenUsed/>
    <w:rsid w:val="007512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5120F"/>
    <w:rPr>
      <w:rFonts w:asciiTheme="majorHAnsi" w:eastAsiaTheme="majorEastAsia" w:hAnsiTheme="majorHAnsi" w:cstheme="majorBidi"/>
      <w:sz w:val="24"/>
      <w:szCs w:val="24"/>
      <w:shd w:val="pct20" w:color="auto" w:fill="auto"/>
    </w:rPr>
  </w:style>
  <w:style w:type="paragraph" w:styleId="NoSpacing">
    <w:name w:val="No Spacing"/>
    <w:uiPriority w:val="1"/>
    <w:rsid w:val="0075120F"/>
    <w:rPr>
      <w:sz w:val="24"/>
      <w:szCs w:val="20"/>
    </w:rPr>
  </w:style>
  <w:style w:type="paragraph" w:styleId="NormalWeb">
    <w:name w:val="Normal (Web)"/>
    <w:basedOn w:val="Normal"/>
    <w:uiPriority w:val="99"/>
    <w:semiHidden/>
    <w:unhideWhenUsed/>
    <w:rsid w:val="0075120F"/>
    <w:rPr>
      <w:szCs w:val="24"/>
    </w:rPr>
  </w:style>
  <w:style w:type="character" w:styleId="PlaceholderText">
    <w:name w:val="Placeholder Text"/>
    <w:basedOn w:val="DefaultParagraphFont"/>
    <w:uiPriority w:val="99"/>
    <w:semiHidden/>
    <w:rsid w:val="0075120F"/>
    <w:rPr>
      <w:color w:val="808080"/>
    </w:rPr>
  </w:style>
  <w:style w:type="paragraph" w:styleId="PlainText">
    <w:name w:val="Plain Text"/>
    <w:basedOn w:val="Normal"/>
    <w:link w:val="PlainTextChar"/>
    <w:uiPriority w:val="99"/>
    <w:semiHidden/>
    <w:unhideWhenUsed/>
    <w:rsid w:val="0075120F"/>
    <w:rPr>
      <w:rFonts w:ascii="Consolas" w:hAnsi="Consolas" w:cs="Consolas"/>
      <w:sz w:val="21"/>
      <w:szCs w:val="21"/>
    </w:rPr>
  </w:style>
  <w:style w:type="character" w:customStyle="1" w:styleId="PlainTextChar">
    <w:name w:val="Plain Text Char"/>
    <w:basedOn w:val="DefaultParagraphFont"/>
    <w:link w:val="PlainText"/>
    <w:uiPriority w:val="99"/>
    <w:semiHidden/>
    <w:rsid w:val="0075120F"/>
    <w:rPr>
      <w:rFonts w:ascii="Consolas" w:hAnsi="Consolas" w:cs="Consolas"/>
      <w:sz w:val="21"/>
      <w:szCs w:val="21"/>
    </w:rPr>
  </w:style>
  <w:style w:type="paragraph" w:styleId="Quote">
    <w:name w:val="Quote"/>
    <w:basedOn w:val="Normal"/>
    <w:next w:val="Normal"/>
    <w:link w:val="QuoteChar"/>
    <w:uiPriority w:val="29"/>
    <w:rsid w:val="0075120F"/>
    <w:rPr>
      <w:i/>
      <w:iCs/>
      <w:color w:val="000000" w:themeColor="text1"/>
    </w:rPr>
  </w:style>
  <w:style w:type="character" w:customStyle="1" w:styleId="QuoteChar">
    <w:name w:val="Quote Char"/>
    <w:basedOn w:val="DefaultParagraphFont"/>
    <w:link w:val="Quote"/>
    <w:uiPriority w:val="29"/>
    <w:rsid w:val="0075120F"/>
    <w:rPr>
      <w:i/>
      <w:iCs/>
      <w:color w:val="000000" w:themeColor="text1"/>
      <w:sz w:val="24"/>
      <w:szCs w:val="20"/>
    </w:rPr>
  </w:style>
  <w:style w:type="paragraph" w:styleId="Salutation">
    <w:name w:val="Salutation"/>
    <w:basedOn w:val="Normal"/>
    <w:next w:val="Normal"/>
    <w:link w:val="SalutationChar"/>
    <w:unhideWhenUsed/>
    <w:qFormat/>
    <w:rsid w:val="0075120F"/>
  </w:style>
  <w:style w:type="character" w:customStyle="1" w:styleId="SalutationChar">
    <w:name w:val="Salutation Char"/>
    <w:basedOn w:val="DefaultParagraphFont"/>
    <w:link w:val="Salutation"/>
    <w:rsid w:val="0075120F"/>
    <w:rPr>
      <w:sz w:val="24"/>
      <w:szCs w:val="20"/>
    </w:rPr>
  </w:style>
  <w:style w:type="character" w:styleId="Strong">
    <w:name w:val="Strong"/>
    <w:basedOn w:val="DefaultParagraphFont"/>
    <w:unhideWhenUsed/>
    <w:qFormat/>
    <w:rsid w:val="0075120F"/>
    <w:rPr>
      <w:b/>
      <w:bCs/>
    </w:rPr>
  </w:style>
  <w:style w:type="character" w:styleId="SubtleEmphasis">
    <w:name w:val="Subtle Emphasis"/>
    <w:basedOn w:val="DefaultParagraphFont"/>
    <w:uiPriority w:val="19"/>
    <w:rsid w:val="0075120F"/>
    <w:rPr>
      <w:i/>
      <w:iCs/>
      <w:color w:val="808080" w:themeColor="text1" w:themeTint="7F"/>
    </w:rPr>
  </w:style>
  <w:style w:type="character" w:styleId="SubtleReference">
    <w:name w:val="Subtle Reference"/>
    <w:basedOn w:val="DefaultParagraphFont"/>
    <w:uiPriority w:val="31"/>
    <w:rsid w:val="0075120F"/>
    <w:rPr>
      <w:smallCaps/>
      <w:color w:val="C0504D" w:themeColor="accent2"/>
      <w:u w:val="single"/>
    </w:rPr>
  </w:style>
  <w:style w:type="paragraph" w:styleId="TOCHeading">
    <w:name w:val="TOC Heading"/>
    <w:basedOn w:val="Normal"/>
    <w:next w:val="Normal"/>
    <w:uiPriority w:val="39"/>
    <w:semiHidden/>
    <w:unhideWhenUsed/>
    <w:rsid w:val="0075120F"/>
    <w:pPr>
      <w:keepNext/>
      <w:keepLines/>
      <w:jc w:val="center"/>
    </w:pPr>
    <w:rPr>
      <w:rFonts w:eastAsiaTheme="majorEastAsia" w:cstheme="majorBidi"/>
      <w:b/>
      <w:bCs/>
      <w:szCs w:val="28"/>
    </w:rPr>
  </w:style>
  <w:style w:type="table" w:styleId="DarkList">
    <w:name w:val="Dark List"/>
    <w:basedOn w:val="TableNormal"/>
    <w:uiPriority w:val="70"/>
    <w:rsid w:val="0075120F"/>
    <w:rPr>
      <w:rFonts w:asciiTheme="minorHAnsi" w:hAnsiTheme="minorHAnsi" w:cstheme="minorBidi"/>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75120F"/>
    <w:pPr>
      <w:ind w:left="240" w:hanging="240"/>
    </w:pPr>
  </w:style>
  <w:style w:type="paragraph" w:styleId="TableofFigures">
    <w:name w:val="table of figures"/>
    <w:basedOn w:val="Normal"/>
    <w:next w:val="Normal"/>
    <w:uiPriority w:val="99"/>
    <w:semiHidden/>
    <w:unhideWhenUsed/>
    <w:rsid w:val="0075120F"/>
  </w:style>
  <w:style w:type="paragraph" w:customStyle="1" w:styleId="HeadingCont1">
    <w:name w:val="Heading Cont 1"/>
    <w:basedOn w:val="Normal"/>
    <w:link w:val="HeadingCont1Char"/>
    <w:rsid w:val="0075120F"/>
  </w:style>
  <w:style w:type="character" w:customStyle="1" w:styleId="HeadingCont1Char">
    <w:name w:val="Heading Cont 1 Char"/>
    <w:basedOn w:val="DefaultParagraphFont"/>
    <w:link w:val="HeadingCont1"/>
    <w:rsid w:val="0075120F"/>
    <w:rPr>
      <w:sz w:val="24"/>
      <w:szCs w:val="20"/>
    </w:rPr>
  </w:style>
  <w:style w:type="paragraph" w:customStyle="1" w:styleId="HeadingCont2">
    <w:name w:val="Heading Cont 2"/>
    <w:basedOn w:val="Normal"/>
    <w:link w:val="HeadingCont2Char"/>
    <w:rsid w:val="0075120F"/>
  </w:style>
  <w:style w:type="character" w:customStyle="1" w:styleId="HeadingCont2Char">
    <w:name w:val="Heading Cont 2 Char"/>
    <w:basedOn w:val="DefaultParagraphFont"/>
    <w:link w:val="HeadingCont2"/>
    <w:rsid w:val="0075120F"/>
    <w:rPr>
      <w:sz w:val="24"/>
      <w:szCs w:val="20"/>
    </w:rPr>
  </w:style>
  <w:style w:type="paragraph" w:customStyle="1" w:styleId="HeadingCont3">
    <w:name w:val="Heading Cont 3"/>
    <w:basedOn w:val="Normal"/>
    <w:link w:val="HeadingCont3Char"/>
    <w:rsid w:val="0075120F"/>
  </w:style>
  <w:style w:type="character" w:customStyle="1" w:styleId="HeadingCont3Char">
    <w:name w:val="Heading Cont 3 Char"/>
    <w:basedOn w:val="DefaultParagraphFont"/>
    <w:link w:val="HeadingCont3"/>
    <w:rsid w:val="0075120F"/>
    <w:rPr>
      <w:sz w:val="24"/>
      <w:szCs w:val="20"/>
    </w:rPr>
  </w:style>
  <w:style w:type="paragraph" w:customStyle="1" w:styleId="HeadingCont4">
    <w:name w:val="Heading Cont 4"/>
    <w:basedOn w:val="Normal"/>
    <w:link w:val="HeadingCont4Char"/>
    <w:rsid w:val="0075120F"/>
  </w:style>
  <w:style w:type="character" w:customStyle="1" w:styleId="HeadingCont4Char">
    <w:name w:val="Heading Cont 4 Char"/>
    <w:basedOn w:val="DefaultParagraphFont"/>
    <w:link w:val="HeadingCont4"/>
    <w:rsid w:val="0075120F"/>
    <w:rPr>
      <w:sz w:val="24"/>
      <w:szCs w:val="20"/>
    </w:rPr>
  </w:style>
  <w:style w:type="paragraph" w:customStyle="1" w:styleId="HeadingCont5">
    <w:name w:val="Heading Cont 5"/>
    <w:basedOn w:val="Normal"/>
    <w:link w:val="HeadingCont5Char"/>
    <w:rsid w:val="0075120F"/>
  </w:style>
  <w:style w:type="character" w:customStyle="1" w:styleId="HeadingCont5Char">
    <w:name w:val="Heading Cont 5 Char"/>
    <w:basedOn w:val="DefaultParagraphFont"/>
    <w:link w:val="HeadingCont5"/>
    <w:rsid w:val="0075120F"/>
    <w:rPr>
      <w:sz w:val="24"/>
      <w:szCs w:val="20"/>
    </w:rPr>
  </w:style>
  <w:style w:type="paragraph" w:customStyle="1" w:styleId="HeadingCont6">
    <w:name w:val="Heading Cont 6"/>
    <w:basedOn w:val="Normal"/>
    <w:link w:val="HeadingCont6Char"/>
    <w:rsid w:val="0075120F"/>
  </w:style>
  <w:style w:type="character" w:customStyle="1" w:styleId="HeadingCont6Char">
    <w:name w:val="Heading Cont 6 Char"/>
    <w:basedOn w:val="DefaultParagraphFont"/>
    <w:link w:val="HeadingCont6"/>
    <w:rsid w:val="0075120F"/>
    <w:rPr>
      <w:sz w:val="24"/>
      <w:szCs w:val="20"/>
    </w:rPr>
  </w:style>
  <w:style w:type="paragraph" w:customStyle="1" w:styleId="HeadingCont7">
    <w:name w:val="Heading Cont 7"/>
    <w:basedOn w:val="Normal"/>
    <w:link w:val="HeadingCont7Char"/>
    <w:rsid w:val="0075120F"/>
  </w:style>
  <w:style w:type="character" w:customStyle="1" w:styleId="HeadingCont7Char">
    <w:name w:val="Heading Cont 7 Char"/>
    <w:basedOn w:val="DefaultParagraphFont"/>
    <w:link w:val="HeadingCont7"/>
    <w:rsid w:val="0075120F"/>
    <w:rPr>
      <w:sz w:val="24"/>
      <w:szCs w:val="20"/>
    </w:rPr>
  </w:style>
  <w:style w:type="paragraph" w:customStyle="1" w:styleId="HeadingCont8">
    <w:name w:val="Heading Cont 8"/>
    <w:basedOn w:val="Normal"/>
    <w:link w:val="HeadingCont8Char"/>
    <w:rsid w:val="0075120F"/>
  </w:style>
  <w:style w:type="character" w:customStyle="1" w:styleId="HeadingCont8Char">
    <w:name w:val="Heading Cont 8 Char"/>
    <w:basedOn w:val="DefaultParagraphFont"/>
    <w:link w:val="HeadingCont8"/>
    <w:rsid w:val="0075120F"/>
    <w:rPr>
      <w:sz w:val="24"/>
      <w:szCs w:val="20"/>
    </w:rPr>
  </w:style>
  <w:style w:type="paragraph" w:customStyle="1" w:styleId="HeadingCont9">
    <w:name w:val="Heading Cont 9"/>
    <w:basedOn w:val="Normal"/>
    <w:link w:val="HeadingCont9Char"/>
    <w:rsid w:val="0075120F"/>
  </w:style>
  <w:style w:type="character" w:customStyle="1" w:styleId="HeadingCont9Char">
    <w:name w:val="Heading Cont 9 Char"/>
    <w:basedOn w:val="DefaultParagraphFont"/>
    <w:link w:val="HeadingCont9"/>
    <w:rsid w:val="0075120F"/>
    <w:rPr>
      <w:sz w:val="24"/>
      <w:szCs w:val="20"/>
    </w:rPr>
  </w:style>
  <w:style w:type="paragraph" w:customStyle="1" w:styleId="Equation2">
    <w:name w:val="Equation 2"/>
    <w:basedOn w:val="Normal"/>
    <w:rsid w:val="0087266A"/>
    <w:pPr>
      <w:widowControl w:val="0"/>
      <w:tabs>
        <w:tab w:val="left" w:pos="1800"/>
        <w:tab w:val="left" w:pos="2340"/>
      </w:tabs>
      <w:spacing w:after="240"/>
      <w:ind w:left="2347" w:hanging="907"/>
      <w:contextualSpacing/>
    </w:pPr>
    <w:rPr>
      <w:szCs w:val="24"/>
    </w:rPr>
  </w:style>
  <w:style w:type="paragraph" w:customStyle="1" w:styleId="Equation">
    <w:name w:val="Equation"/>
    <w:basedOn w:val="Normal"/>
    <w:rsid w:val="00A6404D"/>
    <w:pPr>
      <w:widowControl w:val="0"/>
      <w:ind w:left="720"/>
      <w:outlineLvl w:val="3"/>
    </w:pPr>
    <w:rPr>
      <w:i/>
      <w:szCs w:val="24"/>
    </w:rPr>
  </w:style>
  <w:style w:type="paragraph" w:customStyle="1" w:styleId="BodyTextLeftBold">
    <w:name w:val="Body Text Left Bold"/>
    <w:basedOn w:val="BodyTextLeft"/>
    <w:rsid w:val="008B1FFD"/>
    <w:rPr>
      <w:b/>
    </w:rPr>
  </w:style>
  <w:style w:type="paragraph" w:customStyle="1" w:styleId="SignatureHeader">
    <w:name w:val="Signature Header"/>
    <w:basedOn w:val="Normal"/>
    <w:rsid w:val="008B1FFD"/>
    <w:pPr>
      <w:widowControl w:val="0"/>
    </w:pPr>
    <w:rPr>
      <w:b/>
      <w:bCs/>
      <w:szCs w:val="24"/>
      <w:lang w:eastAsia="zh-CN"/>
    </w:rPr>
  </w:style>
  <w:style w:type="paragraph" w:customStyle="1" w:styleId="SignatureLine">
    <w:name w:val="Signature Line"/>
    <w:basedOn w:val="Normal"/>
    <w:rsid w:val="00F51FE1"/>
    <w:pPr>
      <w:widowControl w:val="0"/>
      <w:tabs>
        <w:tab w:val="left" w:pos="720"/>
        <w:tab w:val="right" w:pos="4115"/>
      </w:tabs>
    </w:pPr>
    <w:rPr>
      <w:bCs/>
      <w:szCs w:val="24"/>
      <w:lang w:eastAsia="zh-CN"/>
    </w:rPr>
  </w:style>
  <w:style w:type="paragraph" w:customStyle="1" w:styleId="LetterList">
    <w:name w:val="Letter List"/>
    <w:basedOn w:val="BodyTextLeft"/>
    <w:rsid w:val="00E03778"/>
    <w:pPr>
      <w:ind w:left="720" w:hanging="720"/>
      <w:contextualSpacing/>
    </w:pPr>
  </w:style>
  <w:style w:type="paragraph" w:styleId="Revision">
    <w:name w:val="Revision"/>
    <w:hidden/>
    <w:uiPriority w:val="99"/>
    <w:semiHidden/>
    <w:rsid w:val="00FC22C4"/>
    <w:rPr>
      <w:sz w:val="24"/>
      <w:szCs w:val="20"/>
    </w:rPr>
  </w:style>
  <w:style w:type="table" w:customStyle="1" w:styleId="TableGrid1">
    <w:name w:val="Table Grid1"/>
    <w:basedOn w:val="TableNormal"/>
    <w:next w:val="TableGrid"/>
    <w:uiPriority w:val="39"/>
    <w:rsid w:val="00937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rmNormal">
    <w:name w:val="Confirm Normal"/>
    <w:basedOn w:val="Normal"/>
    <w:rsid w:val="00443F16"/>
    <w:pPr>
      <w:spacing w:after="240"/>
    </w:pPr>
    <w:rPr>
      <w:rFonts w:ascii="Arial" w:hAnsi="Arial" w:cs="Arial"/>
      <w:sz w:val="20"/>
    </w:rPr>
  </w:style>
  <w:style w:type="character" w:customStyle="1" w:styleId="UnresolvedMention1">
    <w:name w:val="Unresolved Mention1"/>
    <w:basedOn w:val="DefaultParagraphFont"/>
    <w:uiPriority w:val="99"/>
    <w:semiHidden/>
    <w:unhideWhenUsed/>
    <w:rsid w:val="00241862"/>
    <w:rPr>
      <w:color w:val="808080"/>
      <w:shd w:val="clear" w:color="auto" w:fill="E6E6E6"/>
    </w:rPr>
  </w:style>
  <w:style w:type="paragraph" w:customStyle="1" w:styleId="Legal2L1">
    <w:name w:val="Legal2_L1"/>
    <w:basedOn w:val="Normal"/>
    <w:next w:val="BodyText"/>
    <w:rsid w:val="004A59B5"/>
    <w:pPr>
      <w:numPr>
        <w:numId w:val="35"/>
      </w:numPr>
      <w:spacing w:after="240"/>
      <w:outlineLvl w:val="0"/>
    </w:pPr>
  </w:style>
  <w:style w:type="paragraph" w:customStyle="1" w:styleId="Legal2L2">
    <w:name w:val="Legal2_L2"/>
    <w:basedOn w:val="Legal2L1"/>
    <w:next w:val="BodyText"/>
    <w:link w:val="Legal2L2Char"/>
    <w:rsid w:val="004A59B5"/>
    <w:pPr>
      <w:numPr>
        <w:ilvl w:val="1"/>
      </w:numPr>
      <w:outlineLvl w:val="1"/>
    </w:pPr>
  </w:style>
  <w:style w:type="paragraph" w:customStyle="1" w:styleId="Legal2L3">
    <w:name w:val="Legal2_L3"/>
    <w:basedOn w:val="Legal2L2"/>
    <w:next w:val="BodyText"/>
    <w:rsid w:val="004A59B5"/>
    <w:pPr>
      <w:numPr>
        <w:ilvl w:val="2"/>
      </w:numPr>
      <w:tabs>
        <w:tab w:val="clear" w:pos="2160"/>
        <w:tab w:val="num" w:pos="360"/>
        <w:tab w:val="num" w:pos="1080"/>
      </w:tabs>
      <w:ind w:left="1080" w:hanging="360"/>
      <w:outlineLvl w:val="2"/>
    </w:pPr>
  </w:style>
  <w:style w:type="paragraph" w:customStyle="1" w:styleId="Legal2L4">
    <w:name w:val="Legal2_L4"/>
    <w:basedOn w:val="Legal2L3"/>
    <w:next w:val="BodyText"/>
    <w:rsid w:val="004A59B5"/>
    <w:pPr>
      <w:numPr>
        <w:ilvl w:val="3"/>
      </w:numPr>
      <w:tabs>
        <w:tab w:val="clear" w:pos="2880"/>
        <w:tab w:val="num" w:pos="360"/>
        <w:tab w:val="num" w:pos="1080"/>
        <w:tab w:val="num" w:pos="1440"/>
      </w:tabs>
      <w:ind w:left="2160" w:hanging="360"/>
      <w:outlineLvl w:val="3"/>
    </w:pPr>
  </w:style>
  <w:style w:type="paragraph" w:customStyle="1" w:styleId="Legal2L5">
    <w:name w:val="Legal2_L5"/>
    <w:basedOn w:val="Legal2L4"/>
    <w:next w:val="BodyText"/>
    <w:rsid w:val="004A59B5"/>
    <w:pPr>
      <w:numPr>
        <w:ilvl w:val="4"/>
      </w:numPr>
      <w:tabs>
        <w:tab w:val="clear" w:pos="3600"/>
        <w:tab w:val="num" w:pos="360"/>
        <w:tab w:val="num" w:pos="1080"/>
        <w:tab w:val="num" w:pos="1800"/>
      </w:tabs>
      <w:ind w:left="360" w:hanging="360"/>
      <w:jc w:val="left"/>
      <w:outlineLvl w:val="4"/>
    </w:pPr>
  </w:style>
  <w:style w:type="paragraph" w:customStyle="1" w:styleId="Legal2L6">
    <w:name w:val="Legal2_L6"/>
    <w:basedOn w:val="Legal2L5"/>
    <w:next w:val="BodyText"/>
    <w:rsid w:val="004A59B5"/>
    <w:pPr>
      <w:numPr>
        <w:ilvl w:val="5"/>
      </w:numPr>
      <w:tabs>
        <w:tab w:val="clear" w:pos="4320"/>
        <w:tab w:val="num" w:pos="-4680"/>
        <w:tab w:val="num" w:pos="360"/>
        <w:tab w:val="num" w:pos="1080"/>
        <w:tab w:val="num" w:pos="2160"/>
      </w:tabs>
      <w:ind w:left="-5040" w:hanging="360"/>
      <w:outlineLvl w:val="5"/>
    </w:pPr>
  </w:style>
  <w:style w:type="paragraph" w:customStyle="1" w:styleId="Legal2L7">
    <w:name w:val="Legal2_L7"/>
    <w:basedOn w:val="Legal2L6"/>
    <w:next w:val="BodyText"/>
    <w:rsid w:val="004A59B5"/>
    <w:pPr>
      <w:numPr>
        <w:ilvl w:val="6"/>
      </w:numPr>
      <w:tabs>
        <w:tab w:val="clear" w:pos="5040"/>
        <w:tab w:val="num" w:pos="-3960"/>
        <w:tab w:val="num" w:pos="360"/>
        <w:tab w:val="num" w:pos="2520"/>
      </w:tabs>
      <w:ind w:left="-4320" w:hanging="360"/>
      <w:outlineLvl w:val="6"/>
    </w:pPr>
  </w:style>
  <w:style w:type="paragraph" w:customStyle="1" w:styleId="Legal2L8">
    <w:name w:val="Legal2_L8"/>
    <w:basedOn w:val="Legal2L7"/>
    <w:next w:val="BodyText"/>
    <w:rsid w:val="004A59B5"/>
    <w:pPr>
      <w:numPr>
        <w:ilvl w:val="7"/>
      </w:numPr>
      <w:tabs>
        <w:tab w:val="clear" w:pos="5760"/>
        <w:tab w:val="num" w:pos="-3240"/>
        <w:tab w:val="num" w:pos="360"/>
        <w:tab w:val="num" w:pos="2880"/>
      </w:tabs>
      <w:ind w:left="-3600" w:hanging="360"/>
      <w:outlineLvl w:val="7"/>
    </w:pPr>
  </w:style>
  <w:style w:type="paragraph" w:customStyle="1" w:styleId="Legal2L9">
    <w:name w:val="Legal2_L9"/>
    <w:basedOn w:val="Legal2L8"/>
    <w:next w:val="BodyText"/>
    <w:rsid w:val="004A59B5"/>
    <w:pPr>
      <w:numPr>
        <w:ilvl w:val="8"/>
      </w:numPr>
      <w:tabs>
        <w:tab w:val="clear" w:pos="6480"/>
        <w:tab w:val="num" w:pos="-2520"/>
        <w:tab w:val="num" w:pos="360"/>
        <w:tab w:val="num" w:pos="3240"/>
      </w:tabs>
      <w:ind w:left="-2880" w:hanging="360"/>
      <w:outlineLvl w:val="8"/>
    </w:pPr>
  </w:style>
  <w:style w:type="character" w:customStyle="1" w:styleId="Legal2L2Char">
    <w:name w:val="Legal2_L2 Char"/>
    <w:basedOn w:val="DefaultParagraphFont"/>
    <w:link w:val="Legal2L2"/>
    <w:rsid w:val="004A59B5"/>
    <w:rPr>
      <w:sz w:val="24"/>
      <w:szCs w:val="20"/>
    </w:rPr>
  </w:style>
  <w:style w:type="paragraph" w:styleId="NoteHeading">
    <w:name w:val="Note Heading"/>
    <w:basedOn w:val="Normal"/>
    <w:next w:val="Normal"/>
    <w:rsid w:val="001C40CF"/>
  </w:style>
  <w:style w:type="character" w:customStyle="1" w:styleId="NoteHeadingChar1">
    <w:name w:val="Note Heading Char1"/>
    <w:basedOn w:val="DefaultParagraphFont"/>
    <w:uiPriority w:val="99"/>
    <w:rsid w:val="001C40CF"/>
    <w:rPr>
      <w:sz w:val="24"/>
      <w:szCs w:val="20"/>
    </w:rPr>
  </w:style>
  <w:style w:type="character" w:styleId="UnresolvedMention">
    <w:name w:val="Unresolved Mention"/>
    <w:basedOn w:val="DefaultParagraphFont"/>
    <w:uiPriority w:val="99"/>
    <w:unhideWhenUsed/>
    <w:rsid w:val="001C40CF"/>
    <w:rPr>
      <w:color w:val="808080"/>
      <w:shd w:val="clear" w:color="auto" w:fill="E6E6E6"/>
    </w:rPr>
  </w:style>
  <w:style w:type="paragraph" w:customStyle="1" w:styleId="pf0">
    <w:name w:val="pf0"/>
    <w:basedOn w:val="Normal"/>
    <w:rsid w:val="00D5411B"/>
    <w:pPr>
      <w:spacing w:before="100" w:beforeAutospacing="1" w:after="100" w:afterAutospacing="1"/>
      <w:jc w:val="left"/>
    </w:pPr>
    <w:rPr>
      <w:szCs w:val="24"/>
    </w:rPr>
  </w:style>
  <w:style w:type="character" w:customStyle="1" w:styleId="cf01">
    <w:name w:val="cf01"/>
    <w:basedOn w:val="DefaultParagraphFont"/>
    <w:rsid w:val="00D5411B"/>
    <w:rPr>
      <w:rFonts w:ascii="Segoe UI" w:hAnsi="Segoe UI" w:cs="Segoe UI" w:hint="default"/>
      <w:b/>
      <w:bCs/>
      <w:i/>
      <w:i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015">
      <w:bodyDiv w:val="1"/>
      <w:marLeft w:val="0"/>
      <w:marRight w:val="0"/>
      <w:marTop w:val="0"/>
      <w:marBottom w:val="0"/>
      <w:divBdr>
        <w:top w:val="none" w:sz="0" w:space="0" w:color="auto"/>
        <w:left w:val="none" w:sz="0" w:space="0" w:color="auto"/>
        <w:bottom w:val="none" w:sz="0" w:space="0" w:color="auto"/>
        <w:right w:val="none" w:sz="0" w:space="0" w:color="auto"/>
      </w:divBdr>
    </w:div>
    <w:div w:id="408575409">
      <w:bodyDiv w:val="1"/>
      <w:marLeft w:val="0"/>
      <w:marRight w:val="0"/>
      <w:marTop w:val="0"/>
      <w:marBottom w:val="0"/>
      <w:divBdr>
        <w:top w:val="none" w:sz="0" w:space="0" w:color="auto"/>
        <w:left w:val="none" w:sz="0" w:space="0" w:color="auto"/>
        <w:bottom w:val="none" w:sz="0" w:space="0" w:color="auto"/>
        <w:right w:val="none" w:sz="0" w:space="0" w:color="auto"/>
      </w:divBdr>
    </w:div>
    <w:div w:id="490870523">
      <w:bodyDiv w:val="1"/>
      <w:marLeft w:val="0"/>
      <w:marRight w:val="0"/>
      <w:marTop w:val="0"/>
      <w:marBottom w:val="0"/>
      <w:divBdr>
        <w:top w:val="none" w:sz="0" w:space="0" w:color="auto"/>
        <w:left w:val="none" w:sz="0" w:space="0" w:color="auto"/>
        <w:bottom w:val="none" w:sz="0" w:space="0" w:color="auto"/>
        <w:right w:val="none" w:sz="0" w:space="0" w:color="auto"/>
      </w:divBdr>
    </w:div>
    <w:div w:id="500513279">
      <w:bodyDiv w:val="1"/>
      <w:marLeft w:val="0"/>
      <w:marRight w:val="0"/>
      <w:marTop w:val="0"/>
      <w:marBottom w:val="0"/>
      <w:divBdr>
        <w:top w:val="none" w:sz="0" w:space="0" w:color="auto"/>
        <w:left w:val="none" w:sz="0" w:space="0" w:color="auto"/>
        <w:bottom w:val="none" w:sz="0" w:space="0" w:color="auto"/>
        <w:right w:val="none" w:sz="0" w:space="0" w:color="auto"/>
      </w:divBdr>
    </w:div>
    <w:div w:id="773284337">
      <w:bodyDiv w:val="1"/>
      <w:marLeft w:val="0"/>
      <w:marRight w:val="0"/>
      <w:marTop w:val="0"/>
      <w:marBottom w:val="0"/>
      <w:divBdr>
        <w:top w:val="none" w:sz="0" w:space="0" w:color="auto"/>
        <w:left w:val="none" w:sz="0" w:space="0" w:color="auto"/>
        <w:bottom w:val="none" w:sz="0" w:space="0" w:color="auto"/>
        <w:right w:val="none" w:sz="0" w:space="0" w:color="auto"/>
      </w:divBdr>
    </w:div>
    <w:div w:id="811404854">
      <w:bodyDiv w:val="1"/>
      <w:marLeft w:val="0"/>
      <w:marRight w:val="0"/>
      <w:marTop w:val="0"/>
      <w:marBottom w:val="0"/>
      <w:divBdr>
        <w:top w:val="none" w:sz="0" w:space="0" w:color="auto"/>
        <w:left w:val="none" w:sz="0" w:space="0" w:color="auto"/>
        <w:bottom w:val="none" w:sz="0" w:space="0" w:color="auto"/>
        <w:right w:val="none" w:sz="0" w:space="0" w:color="auto"/>
      </w:divBdr>
    </w:div>
    <w:div w:id="942036407">
      <w:bodyDiv w:val="1"/>
      <w:marLeft w:val="0"/>
      <w:marRight w:val="0"/>
      <w:marTop w:val="0"/>
      <w:marBottom w:val="0"/>
      <w:divBdr>
        <w:top w:val="none" w:sz="0" w:space="0" w:color="auto"/>
        <w:left w:val="none" w:sz="0" w:space="0" w:color="auto"/>
        <w:bottom w:val="none" w:sz="0" w:space="0" w:color="auto"/>
        <w:right w:val="none" w:sz="0" w:space="0" w:color="auto"/>
      </w:divBdr>
    </w:div>
    <w:div w:id="1054157232">
      <w:bodyDiv w:val="1"/>
      <w:marLeft w:val="0"/>
      <w:marRight w:val="0"/>
      <w:marTop w:val="0"/>
      <w:marBottom w:val="0"/>
      <w:divBdr>
        <w:top w:val="none" w:sz="0" w:space="0" w:color="auto"/>
        <w:left w:val="none" w:sz="0" w:space="0" w:color="auto"/>
        <w:bottom w:val="none" w:sz="0" w:space="0" w:color="auto"/>
        <w:right w:val="none" w:sz="0" w:space="0" w:color="auto"/>
      </w:divBdr>
    </w:div>
    <w:div w:id="1083916925">
      <w:bodyDiv w:val="1"/>
      <w:marLeft w:val="0"/>
      <w:marRight w:val="0"/>
      <w:marTop w:val="0"/>
      <w:marBottom w:val="0"/>
      <w:divBdr>
        <w:top w:val="none" w:sz="0" w:space="0" w:color="auto"/>
        <w:left w:val="none" w:sz="0" w:space="0" w:color="auto"/>
        <w:bottom w:val="none" w:sz="0" w:space="0" w:color="auto"/>
        <w:right w:val="none" w:sz="0" w:space="0" w:color="auto"/>
      </w:divBdr>
    </w:div>
    <w:div w:id="1314331734">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63F3206C-9CA8-4E6D-B50C-7A9D1B73F625}"/>
</file>

<file path=customXml/itemProps2.xml><?xml version="1.0" encoding="utf-8"?>
<ds:datastoreItem xmlns:ds="http://schemas.openxmlformats.org/officeDocument/2006/customXml" ds:itemID="{3E4B8B7A-0E89-4BF1-805D-C8BE31999D07}"/>
</file>

<file path=customXml/itemProps3.xml><?xml version="1.0" encoding="utf-8"?>
<ds:datastoreItem xmlns:ds="http://schemas.openxmlformats.org/officeDocument/2006/customXml" ds:itemID="{8D17B9B7-840E-4E20-8E26-9A5497C405D5}"/>
</file>

<file path=customXml/itemProps4.xml><?xml version="1.0" encoding="utf-8"?>
<ds:datastoreItem xmlns:ds="http://schemas.openxmlformats.org/officeDocument/2006/customXml" ds:itemID="{04276C70-223A-4971-A1E4-87F7DE290740}"/>
</file>

<file path=docProps/app.xml><?xml version="1.0" encoding="utf-8"?>
<Properties xmlns="http://schemas.openxmlformats.org/officeDocument/2006/extended-properties" xmlns:vt="http://schemas.openxmlformats.org/officeDocument/2006/docPropsVTypes">
  <Template>Normal.dotm</Template>
  <TotalTime>0</TotalTime>
  <Pages>18</Pages>
  <Words>5601</Words>
  <Characters>30569</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2023-03-21T16:08:00Z</dcterms:created>
  <dcterms:modified xsi:type="dcterms:W3CDTF">2023-03-21T16:12:00Z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2023-03-21T16:12:53Z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add0a619-8e9d-4c05-9b3a-2a537e45cf0d</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