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8.xml" ContentType="application/vnd.openxmlformats-officedocument.wordprocessingml.footer+xml"/>
  <Override PartName="/word/footer39.xml" ContentType="application/vnd.openxmlformats-officedocument.wordprocessingml.footer+xml"/>
  <Override PartName="/word/footer3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E35A" w14:textId="77777777" w:rsidR="0055205C" w:rsidRPr="00510AD0" w:rsidRDefault="0055205C" w:rsidP="0017021E">
      <w:pPr>
        <w:pStyle w:val="Center"/>
        <w:spacing w:after="720"/>
        <w:rPr>
          <w:b/>
          <w:bCs/>
        </w:rPr>
      </w:pPr>
      <w:r w:rsidRPr="00510AD0">
        <w:rPr>
          <w:b/>
          <w:bCs/>
        </w:rPr>
        <w:t>[FORM OF] CPE RESOURCE ADEQUACY AGREEMENT</w:t>
      </w:r>
      <w:bookmarkStart w:id="0" w:name="_Ref69141854"/>
      <w:r w:rsidRPr="00510AD0">
        <w:rPr>
          <w:rStyle w:val="FootnoteReference"/>
        </w:rPr>
        <w:footnoteReference w:id="2"/>
      </w:r>
      <w:bookmarkEnd w:id="0"/>
    </w:p>
    <w:p w14:paraId="6CD3D0C1" w14:textId="77777777" w:rsidR="0055205C" w:rsidRPr="00510AD0" w:rsidRDefault="0055205C" w:rsidP="0017021E">
      <w:pPr>
        <w:pStyle w:val="Center"/>
        <w:spacing w:after="720"/>
      </w:pPr>
      <w:r w:rsidRPr="00510AD0">
        <w:t>between</w:t>
      </w:r>
    </w:p>
    <w:p w14:paraId="14FC6CE2" w14:textId="4316A7FC" w:rsidR="0055205C" w:rsidRPr="00510AD0" w:rsidRDefault="0055205C" w:rsidP="0017021E">
      <w:pPr>
        <w:pStyle w:val="Center"/>
        <w:spacing w:after="720"/>
      </w:pPr>
      <w:r w:rsidRPr="00510AD0">
        <w:rPr>
          <w:b/>
          <w:bCs/>
        </w:rPr>
        <w:t>PACIFIC GAS AND ELECTRIC COMPANY</w:t>
      </w:r>
      <w:r w:rsidRPr="00510AD0">
        <w:br/>
        <w:t>(as “Buyer”)</w:t>
      </w:r>
    </w:p>
    <w:p w14:paraId="32E9DBD1" w14:textId="77777777" w:rsidR="0055205C" w:rsidRPr="00510AD0" w:rsidRDefault="0055205C" w:rsidP="0017021E">
      <w:pPr>
        <w:pStyle w:val="Center"/>
        <w:spacing w:after="720"/>
      </w:pPr>
      <w:r w:rsidRPr="00510AD0">
        <w:t>and</w:t>
      </w:r>
    </w:p>
    <w:p w14:paraId="50A29FDD" w14:textId="77777777" w:rsidR="0055205C" w:rsidRPr="00510AD0" w:rsidRDefault="0055205C" w:rsidP="0017021E">
      <w:pPr>
        <w:pStyle w:val="Center"/>
        <w:spacing w:after="720"/>
      </w:pPr>
      <w:r w:rsidRPr="00510AD0">
        <w:rPr>
          <w:b/>
        </w:rPr>
        <w:t>________________________________</w:t>
      </w:r>
      <w:r w:rsidRPr="00510AD0">
        <w:rPr>
          <w:b/>
        </w:rPr>
        <w:br/>
      </w:r>
      <w:r w:rsidRPr="00510AD0">
        <w:t>(as “Seller”)</w:t>
      </w:r>
    </w:p>
    <w:p w14:paraId="09DBD14E" w14:textId="77777777" w:rsidR="0055205C" w:rsidRPr="00510AD0" w:rsidRDefault="0055205C" w:rsidP="0017021E">
      <w:pPr>
        <w:pStyle w:val="Center"/>
        <w:spacing w:after="720"/>
      </w:pPr>
    </w:p>
    <w:p w14:paraId="50F96604" w14:textId="77777777" w:rsidR="0055205C" w:rsidRPr="00510AD0" w:rsidRDefault="0055205C" w:rsidP="0070095F">
      <w:pPr>
        <w:sectPr w:rsidR="0055205C" w:rsidRPr="00510AD0" w:rsidSect="00727F6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0ACB88A4" w14:textId="77777777" w:rsidR="0055205C" w:rsidRPr="00510AD0" w:rsidRDefault="0055205C" w:rsidP="0017021E">
      <w:pPr>
        <w:pStyle w:val="BodyTextLeftBold"/>
        <w:jc w:val="center"/>
      </w:pPr>
      <w:r w:rsidRPr="00510AD0">
        <w:lastRenderedPageBreak/>
        <w:t>CPE RESOURCE ADEQUACY AGREEMENT</w:t>
      </w:r>
    </w:p>
    <w:p w14:paraId="3D459F3F" w14:textId="77777777" w:rsidR="0055205C" w:rsidRPr="00510AD0" w:rsidRDefault="0055205C" w:rsidP="0017021E">
      <w:pPr>
        <w:pStyle w:val="BodyTextLeftBold"/>
        <w:jc w:val="center"/>
      </w:pPr>
      <w:r w:rsidRPr="00510AD0">
        <w:t>TABLE OF CONTENTS</w:t>
      </w:r>
    </w:p>
    <w:p w14:paraId="2AEAD382" w14:textId="1C041640" w:rsidR="00E245DD" w:rsidRPr="00510AD0" w:rsidRDefault="0055205C" w:rsidP="005E6C80">
      <w:pPr>
        <w:pStyle w:val="TOC1"/>
        <w:rPr>
          <w:rFonts w:eastAsiaTheme="minorEastAsia"/>
          <w:noProof/>
          <w:sz w:val="22"/>
          <w:szCs w:val="22"/>
        </w:rPr>
      </w:pPr>
      <w:r w:rsidRPr="00510AD0">
        <w:fldChar w:fldCharType="begin"/>
      </w:r>
      <w:r w:rsidRPr="00510AD0">
        <w:instrText xml:space="preserve"> TOC  \h \t "Heading 1,1, Heading 2,2" \x  \* MERGEFORMAT </w:instrText>
      </w:r>
      <w:r w:rsidRPr="00510AD0">
        <w:fldChar w:fldCharType="separate"/>
      </w:r>
      <w:hyperlink w:anchor="_Toc99035816" w:history="1">
        <w:r w:rsidR="00E245DD" w:rsidRPr="00510AD0">
          <w:rPr>
            <w:rStyle w:val="Hyperlink"/>
            <w:noProof/>
          </w:rPr>
          <w:t>Article One</w:t>
        </w:r>
        <w:r w:rsidR="00637D26" w:rsidRPr="00510AD0">
          <w:rPr>
            <w:rStyle w:val="Hyperlink"/>
            <w:noProof/>
          </w:rPr>
          <w:t xml:space="preserve"> </w:t>
        </w:r>
        <w:r w:rsidR="00E245DD" w:rsidRPr="00510AD0">
          <w:rPr>
            <w:rStyle w:val="Hyperlink"/>
            <w:noProof/>
          </w:rPr>
          <w:t>TERM</w:t>
        </w:r>
        <w:r w:rsidR="00E245DD" w:rsidRPr="00510AD0">
          <w:rPr>
            <w:noProof/>
          </w:rPr>
          <w:tab/>
        </w:r>
        <w:r w:rsidR="00E245DD" w:rsidRPr="00510AD0">
          <w:rPr>
            <w:noProof/>
          </w:rPr>
          <w:fldChar w:fldCharType="begin"/>
        </w:r>
        <w:r w:rsidR="00E245DD" w:rsidRPr="00510AD0">
          <w:rPr>
            <w:noProof/>
          </w:rPr>
          <w:instrText xml:space="preserve"> PAGEREF _Toc99035816 \h </w:instrText>
        </w:r>
        <w:r w:rsidR="00E245DD" w:rsidRPr="00510AD0">
          <w:rPr>
            <w:noProof/>
          </w:rPr>
        </w:r>
        <w:r w:rsidR="00E245DD" w:rsidRPr="00510AD0">
          <w:rPr>
            <w:noProof/>
          </w:rPr>
          <w:fldChar w:fldCharType="separate"/>
        </w:r>
        <w:r w:rsidR="0077573F" w:rsidRPr="00510AD0">
          <w:rPr>
            <w:noProof/>
          </w:rPr>
          <w:t>1</w:t>
        </w:r>
        <w:r w:rsidR="00E245DD" w:rsidRPr="00510AD0">
          <w:rPr>
            <w:noProof/>
          </w:rPr>
          <w:fldChar w:fldCharType="end"/>
        </w:r>
      </w:hyperlink>
    </w:p>
    <w:p w14:paraId="0DC0F8FF" w14:textId="37F79856" w:rsidR="00E245DD" w:rsidRPr="00510AD0" w:rsidRDefault="00A1254C" w:rsidP="005E6C80">
      <w:pPr>
        <w:pStyle w:val="TOC2"/>
        <w:rPr>
          <w:rFonts w:eastAsiaTheme="minorEastAsia"/>
          <w:noProof/>
          <w:sz w:val="22"/>
          <w:szCs w:val="22"/>
        </w:rPr>
      </w:pPr>
      <w:hyperlink w:anchor="_Toc99035817" w:history="1">
        <w:r w:rsidR="00E245DD" w:rsidRPr="00510AD0">
          <w:rPr>
            <w:rStyle w:val="Hyperlink"/>
            <w:noProof/>
            <w:specVanish/>
          </w:rPr>
          <w:t>1.1</w:t>
        </w:r>
        <w:r w:rsidR="00E245DD" w:rsidRPr="00510AD0">
          <w:rPr>
            <w:rFonts w:eastAsiaTheme="minorEastAsia"/>
            <w:noProof/>
            <w:sz w:val="22"/>
            <w:szCs w:val="22"/>
          </w:rPr>
          <w:tab/>
        </w:r>
        <w:r w:rsidR="00E245DD" w:rsidRPr="00510AD0">
          <w:rPr>
            <w:rStyle w:val="Hyperlink"/>
            <w:noProof/>
          </w:rPr>
          <w:t>Term</w:t>
        </w:r>
        <w:r w:rsidR="00E245DD" w:rsidRPr="00510AD0">
          <w:rPr>
            <w:noProof/>
          </w:rPr>
          <w:tab/>
        </w:r>
        <w:r w:rsidR="00E245DD" w:rsidRPr="00510AD0">
          <w:rPr>
            <w:noProof/>
          </w:rPr>
          <w:fldChar w:fldCharType="begin"/>
        </w:r>
        <w:r w:rsidR="00E245DD" w:rsidRPr="00510AD0">
          <w:rPr>
            <w:noProof/>
          </w:rPr>
          <w:instrText xml:space="preserve"> PAGEREF _Toc99035817 \h </w:instrText>
        </w:r>
        <w:r w:rsidR="00E245DD" w:rsidRPr="00510AD0">
          <w:rPr>
            <w:noProof/>
          </w:rPr>
        </w:r>
        <w:r w:rsidR="00E245DD" w:rsidRPr="00510AD0">
          <w:rPr>
            <w:noProof/>
          </w:rPr>
          <w:fldChar w:fldCharType="separate"/>
        </w:r>
        <w:r w:rsidR="0077573F" w:rsidRPr="00510AD0">
          <w:rPr>
            <w:noProof/>
          </w:rPr>
          <w:t>1</w:t>
        </w:r>
        <w:r w:rsidR="00E245DD" w:rsidRPr="00510AD0">
          <w:rPr>
            <w:noProof/>
          </w:rPr>
          <w:fldChar w:fldCharType="end"/>
        </w:r>
      </w:hyperlink>
    </w:p>
    <w:p w14:paraId="3F1D0F26" w14:textId="23607B6B" w:rsidR="00E245DD" w:rsidRPr="00510AD0" w:rsidRDefault="00A1254C" w:rsidP="005E6C80">
      <w:pPr>
        <w:pStyle w:val="TOC2"/>
        <w:rPr>
          <w:rFonts w:eastAsiaTheme="minorEastAsia"/>
          <w:noProof/>
          <w:sz w:val="22"/>
          <w:szCs w:val="22"/>
        </w:rPr>
      </w:pPr>
      <w:hyperlink w:anchor="_Toc99035818" w:history="1">
        <w:r w:rsidR="00E245DD" w:rsidRPr="00510AD0">
          <w:rPr>
            <w:rStyle w:val="Hyperlink"/>
            <w:noProof/>
            <w:specVanish/>
          </w:rPr>
          <w:t>1.2</w:t>
        </w:r>
        <w:r w:rsidR="00E245DD" w:rsidRPr="00510AD0">
          <w:rPr>
            <w:rFonts w:eastAsiaTheme="minorEastAsia"/>
            <w:noProof/>
            <w:sz w:val="22"/>
            <w:szCs w:val="22"/>
          </w:rPr>
          <w:tab/>
        </w:r>
        <w:r w:rsidR="00E245DD" w:rsidRPr="00510AD0">
          <w:rPr>
            <w:rStyle w:val="Hyperlink"/>
            <w:noProof/>
          </w:rPr>
          <w:t>Binding Nature</w:t>
        </w:r>
        <w:r w:rsidR="00E245DD" w:rsidRPr="00510AD0">
          <w:rPr>
            <w:noProof/>
          </w:rPr>
          <w:tab/>
        </w:r>
        <w:r w:rsidR="00E245DD" w:rsidRPr="00510AD0">
          <w:rPr>
            <w:noProof/>
          </w:rPr>
          <w:fldChar w:fldCharType="begin"/>
        </w:r>
        <w:r w:rsidR="00E245DD" w:rsidRPr="00510AD0">
          <w:rPr>
            <w:noProof/>
          </w:rPr>
          <w:instrText xml:space="preserve"> PAGEREF _Toc99035818 \h </w:instrText>
        </w:r>
        <w:r w:rsidR="00E245DD" w:rsidRPr="00510AD0">
          <w:rPr>
            <w:noProof/>
          </w:rPr>
        </w:r>
        <w:r w:rsidR="00E245DD" w:rsidRPr="00510AD0">
          <w:rPr>
            <w:noProof/>
          </w:rPr>
          <w:fldChar w:fldCharType="separate"/>
        </w:r>
        <w:r w:rsidR="0077573F" w:rsidRPr="00510AD0">
          <w:rPr>
            <w:noProof/>
          </w:rPr>
          <w:t>2</w:t>
        </w:r>
        <w:r w:rsidR="00E245DD" w:rsidRPr="00510AD0">
          <w:rPr>
            <w:noProof/>
          </w:rPr>
          <w:fldChar w:fldCharType="end"/>
        </w:r>
      </w:hyperlink>
    </w:p>
    <w:p w14:paraId="58DB0DB4" w14:textId="171DC608" w:rsidR="00E245DD" w:rsidRPr="00510AD0" w:rsidRDefault="00A1254C" w:rsidP="005E6C80">
      <w:pPr>
        <w:pStyle w:val="TOC2"/>
        <w:rPr>
          <w:rFonts w:eastAsiaTheme="minorEastAsia"/>
          <w:noProof/>
          <w:sz w:val="22"/>
          <w:szCs w:val="22"/>
        </w:rPr>
      </w:pPr>
      <w:hyperlink w:anchor="_Toc99035819" w:history="1">
        <w:r w:rsidR="00E245DD" w:rsidRPr="00510AD0">
          <w:rPr>
            <w:rStyle w:val="Hyperlink"/>
            <w:noProof/>
            <w:specVanish/>
          </w:rPr>
          <w:t>1.3</w:t>
        </w:r>
        <w:r w:rsidR="00E245DD" w:rsidRPr="00510AD0">
          <w:rPr>
            <w:rFonts w:eastAsiaTheme="minorEastAsia"/>
            <w:noProof/>
            <w:sz w:val="22"/>
            <w:szCs w:val="22"/>
          </w:rPr>
          <w:tab/>
        </w:r>
        <w:r w:rsidR="00E245DD" w:rsidRPr="00510AD0">
          <w:rPr>
            <w:rStyle w:val="Hyperlink"/>
            <w:noProof/>
          </w:rPr>
          <w:t>[CPUC Approval Delayed</w:t>
        </w:r>
        <w:r w:rsidR="00E245DD" w:rsidRPr="00510AD0">
          <w:rPr>
            <w:noProof/>
          </w:rPr>
          <w:tab/>
        </w:r>
        <w:r w:rsidR="00E245DD" w:rsidRPr="00510AD0">
          <w:rPr>
            <w:noProof/>
          </w:rPr>
          <w:fldChar w:fldCharType="begin"/>
        </w:r>
        <w:r w:rsidR="00E245DD" w:rsidRPr="00510AD0">
          <w:rPr>
            <w:noProof/>
          </w:rPr>
          <w:instrText xml:space="preserve"> PAGEREF _Toc99035819 \h </w:instrText>
        </w:r>
        <w:r w:rsidR="00E245DD" w:rsidRPr="00510AD0">
          <w:rPr>
            <w:noProof/>
          </w:rPr>
        </w:r>
        <w:r w:rsidR="00E245DD" w:rsidRPr="00510AD0">
          <w:rPr>
            <w:noProof/>
          </w:rPr>
          <w:fldChar w:fldCharType="separate"/>
        </w:r>
        <w:r w:rsidR="0077573F" w:rsidRPr="00510AD0">
          <w:rPr>
            <w:noProof/>
          </w:rPr>
          <w:t>2</w:t>
        </w:r>
        <w:r w:rsidR="00E245DD" w:rsidRPr="00510AD0">
          <w:rPr>
            <w:noProof/>
          </w:rPr>
          <w:fldChar w:fldCharType="end"/>
        </w:r>
      </w:hyperlink>
    </w:p>
    <w:p w14:paraId="66A9979E" w14:textId="69D39B7B" w:rsidR="00E245DD" w:rsidRPr="00510AD0" w:rsidRDefault="00A1254C" w:rsidP="005E6C80">
      <w:pPr>
        <w:pStyle w:val="TOC1"/>
        <w:rPr>
          <w:rFonts w:eastAsiaTheme="minorEastAsia"/>
          <w:noProof/>
          <w:sz w:val="22"/>
          <w:szCs w:val="22"/>
        </w:rPr>
      </w:pPr>
      <w:hyperlink w:anchor="_Toc99035820" w:history="1">
        <w:r w:rsidR="00E245DD" w:rsidRPr="00510AD0">
          <w:rPr>
            <w:rStyle w:val="Hyperlink"/>
            <w:noProof/>
          </w:rPr>
          <w:t>Article Two</w:t>
        </w:r>
        <w:r w:rsidR="005E6C80" w:rsidRPr="00510AD0">
          <w:rPr>
            <w:rStyle w:val="Hyperlink"/>
            <w:noProof/>
          </w:rPr>
          <w:t xml:space="preserve"> </w:t>
        </w:r>
        <w:r w:rsidR="00E245DD" w:rsidRPr="00510AD0">
          <w:rPr>
            <w:rStyle w:val="Hyperlink"/>
            <w:noProof/>
          </w:rPr>
          <w:t>CONDITIONS PRECEDENT TO INITIAL DELIVERY DATE</w:t>
        </w:r>
        <w:r w:rsidR="00E245DD" w:rsidRPr="00510AD0">
          <w:rPr>
            <w:noProof/>
          </w:rPr>
          <w:tab/>
        </w:r>
        <w:r w:rsidR="00E245DD" w:rsidRPr="00510AD0">
          <w:rPr>
            <w:noProof/>
          </w:rPr>
          <w:fldChar w:fldCharType="begin"/>
        </w:r>
        <w:r w:rsidR="00E245DD" w:rsidRPr="00510AD0">
          <w:rPr>
            <w:noProof/>
          </w:rPr>
          <w:instrText xml:space="preserve"> PAGEREF _Toc99035820 \h </w:instrText>
        </w:r>
        <w:r w:rsidR="00E245DD" w:rsidRPr="00510AD0">
          <w:rPr>
            <w:noProof/>
          </w:rPr>
        </w:r>
        <w:r w:rsidR="00E245DD" w:rsidRPr="00510AD0">
          <w:rPr>
            <w:noProof/>
          </w:rPr>
          <w:fldChar w:fldCharType="separate"/>
        </w:r>
        <w:r w:rsidR="0077573F" w:rsidRPr="00510AD0">
          <w:rPr>
            <w:noProof/>
          </w:rPr>
          <w:t>3</w:t>
        </w:r>
        <w:r w:rsidR="00E245DD" w:rsidRPr="00510AD0">
          <w:rPr>
            <w:noProof/>
          </w:rPr>
          <w:fldChar w:fldCharType="end"/>
        </w:r>
      </w:hyperlink>
    </w:p>
    <w:p w14:paraId="132A7173" w14:textId="48443325" w:rsidR="00E245DD" w:rsidRPr="00510AD0" w:rsidRDefault="00A1254C" w:rsidP="005E6C80">
      <w:pPr>
        <w:pStyle w:val="TOC2"/>
        <w:rPr>
          <w:rFonts w:eastAsiaTheme="minorEastAsia"/>
          <w:noProof/>
          <w:sz w:val="22"/>
          <w:szCs w:val="22"/>
        </w:rPr>
      </w:pPr>
      <w:hyperlink w:anchor="_Toc99035821" w:history="1">
        <w:r w:rsidR="00E245DD" w:rsidRPr="00510AD0">
          <w:rPr>
            <w:rStyle w:val="Hyperlink"/>
            <w:noProof/>
            <w:specVanish/>
          </w:rPr>
          <w:t>2.1</w:t>
        </w:r>
        <w:r w:rsidR="00E245DD" w:rsidRPr="00510AD0">
          <w:rPr>
            <w:rFonts w:eastAsiaTheme="minorEastAsia"/>
            <w:noProof/>
            <w:sz w:val="22"/>
            <w:szCs w:val="22"/>
          </w:rPr>
          <w:tab/>
        </w:r>
        <w:r w:rsidR="00E245DD" w:rsidRPr="00510AD0">
          <w:rPr>
            <w:rStyle w:val="Hyperlink"/>
            <w:noProof/>
          </w:rPr>
          <w:t>Conditions Precedent to the Initial Delivery Date</w:t>
        </w:r>
        <w:r w:rsidR="00E245DD" w:rsidRPr="00510AD0">
          <w:rPr>
            <w:noProof/>
          </w:rPr>
          <w:tab/>
        </w:r>
        <w:r w:rsidR="00E245DD" w:rsidRPr="00510AD0">
          <w:rPr>
            <w:noProof/>
          </w:rPr>
          <w:fldChar w:fldCharType="begin"/>
        </w:r>
        <w:r w:rsidR="00E245DD" w:rsidRPr="00510AD0">
          <w:rPr>
            <w:noProof/>
          </w:rPr>
          <w:instrText xml:space="preserve"> PAGEREF _Toc99035821 \h </w:instrText>
        </w:r>
        <w:r w:rsidR="00E245DD" w:rsidRPr="00510AD0">
          <w:rPr>
            <w:noProof/>
          </w:rPr>
        </w:r>
        <w:r w:rsidR="00E245DD" w:rsidRPr="00510AD0">
          <w:rPr>
            <w:noProof/>
          </w:rPr>
          <w:fldChar w:fldCharType="separate"/>
        </w:r>
        <w:r w:rsidR="0077573F" w:rsidRPr="00510AD0">
          <w:rPr>
            <w:noProof/>
          </w:rPr>
          <w:t>3</w:t>
        </w:r>
        <w:r w:rsidR="00E245DD" w:rsidRPr="00510AD0">
          <w:rPr>
            <w:noProof/>
          </w:rPr>
          <w:fldChar w:fldCharType="end"/>
        </w:r>
      </w:hyperlink>
    </w:p>
    <w:p w14:paraId="5E4F1594" w14:textId="1F875432" w:rsidR="00E245DD" w:rsidRPr="00510AD0" w:rsidRDefault="00A1254C" w:rsidP="005E6C80">
      <w:pPr>
        <w:pStyle w:val="TOC2"/>
        <w:rPr>
          <w:rFonts w:eastAsiaTheme="minorEastAsia"/>
          <w:noProof/>
          <w:sz w:val="22"/>
          <w:szCs w:val="22"/>
        </w:rPr>
      </w:pPr>
      <w:hyperlink w:anchor="_Toc99035822" w:history="1">
        <w:r w:rsidR="00E245DD" w:rsidRPr="00510AD0">
          <w:rPr>
            <w:rStyle w:val="Hyperlink"/>
            <w:noProof/>
            <w:specVanish/>
          </w:rPr>
          <w:t>2.2</w:t>
        </w:r>
        <w:r w:rsidR="00E245DD" w:rsidRPr="00510AD0">
          <w:rPr>
            <w:rFonts w:eastAsiaTheme="minorEastAsia"/>
            <w:noProof/>
            <w:sz w:val="22"/>
            <w:szCs w:val="22"/>
          </w:rPr>
          <w:tab/>
        </w:r>
        <w:r w:rsidR="00E245DD" w:rsidRPr="00510AD0">
          <w:rPr>
            <w:rStyle w:val="Hyperlink"/>
            <w:noProof/>
          </w:rPr>
          <w:t>Confirmation of Initial Delivery Date</w:t>
        </w:r>
        <w:r w:rsidR="00E245DD" w:rsidRPr="00510AD0">
          <w:rPr>
            <w:noProof/>
          </w:rPr>
          <w:tab/>
        </w:r>
        <w:r w:rsidR="00E245DD" w:rsidRPr="00510AD0">
          <w:rPr>
            <w:noProof/>
          </w:rPr>
          <w:fldChar w:fldCharType="begin"/>
        </w:r>
        <w:r w:rsidR="00E245DD" w:rsidRPr="00510AD0">
          <w:rPr>
            <w:noProof/>
          </w:rPr>
          <w:instrText xml:space="preserve"> PAGEREF _Toc99035822 \h </w:instrText>
        </w:r>
        <w:r w:rsidR="00E245DD" w:rsidRPr="00510AD0">
          <w:rPr>
            <w:noProof/>
          </w:rPr>
        </w:r>
        <w:r w:rsidR="00E245DD" w:rsidRPr="00510AD0">
          <w:rPr>
            <w:noProof/>
          </w:rPr>
          <w:fldChar w:fldCharType="separate"/>
        </w:r>
        <w:r w:rsidR="0077573F" w:rsidRPr="00510AD0">
          <w:rPr>
            <w:noProof/>
          </w:rPr>
          <w:t>4</w:t>
        </w:r>
        <w:r w:rsidR="00E245DD" w:rsidRPr="00510AD0">
          <w:rPr>
            <w:noProof/>
          </w:rPr>
          <w:fldChar w:fldCharType="end"/>
        </w:r>
      </w:hyperlink>
    </w:p>
    <w:p w14:paraId="1AFBAF93" w14:textId="462F8EEF" w:rsidR="00E245DD" w:rsidRPr="00510AD0" w:rsidRDefault="00A1254C" w:rsidP="005E6C80">
      <w:pPr>
        <w:pStyle w:val="TOC2"/>
        <w:rPr>
          <w:rFonts w:eastAsiaTheme="minorEastAsia"/>
          <w:noProof/>
          <w:sz w:val="22"/>
          <w:szCs w:val="22"/>
        </w:rPr>
      </w:pPr>
      <w:hyperlink w:anchor="_Toc99035823" w:history="1">
        <w:r w:rsidR="00E245DD" w:rsidRPr="00510AD0">
          <w:rPr>
            <w:rStyle w:val="Hyperlink"/>
            <w:noProof/>
            <w:specVanish/>
          </w:rPr>
          <w:t>2.3</w:t>
        </w:r>
        <w:r w:rsidR="00E245DD" w:rsidRPr="00510AD0">
          <w:rPr>
            <w:rFonts w:eastAsiaTheme="minorEastAsia"/>
            <w:noProof/>
            <w:sz w:val="22"/>
            <w:szCs w:val="22"/>
          </w:rPr>
          <w:tab/>
        </w:r>
        <w:r w:rsidR="00E245DD" w:rsidRPr="00510AD0">
          <w:rPr>
            <w:rStyle w:val="Hyperlink"/>
            <w:noProof/>
          </w:rPr>
          <w:t>Deadline for the Initial Delivery Date</w:t>
        </w:r>
        <w:r w:rsidR="00E245DD" w:rsidRPr="00510AD0">
          <w:rPr>
            <w:noProof/>
          </w:rPr>
          <w:tab/>
        </w:r>
        <w:r w:rsidR="00E245DD" w:rsidRPr="00510AD0">
          <w:rPr>
            <w:noProof/>
          </w:rPr>
          <w:fldChar w:fldCharType="begin"/>
        </w:r>
        <w:r w:rsidR="00E245DD" w:rsidRPr="00510AD0">
          <w:rPr>
            <w:noProof/>
          </w:rPr>
          <w:instrText xml:space="preserve"> PAGEREF _Toc99035823 \h </w:instrText>
        </w:r>
        <w:r w:rsidR="00E245DD" w:rsidRPr="00510AD0">
          <w:rPr>
            <w:noProof/>
          </w:rPr>
        </w:r>
        <w:r w:rsidR="00E245DD" w:rsidRPr="00510AD0">
          <w:rPr>
            <w:noProof/>
          </w:rPr>
          <w:fldChar w:fldCharType="separate"/>
        </w:r>
        <w:r w:rsidR="0077573F" w:rsidRPr="00510AD0">
          <w:rPr>
            <w:noProof/>
          </w:rPr>
          <w:t>4</w:t>
        </w:r>
        <w:r w:rsidR="00E245DD" w:rsidRPr="00510AD0">
          <w:rPr>
            <w:noProof/>
          </w:rPr>
          <w:fldChar w:fldCharType="end"/>
        </w:r>
      </w:hyperlink>
    </w:p>
    <w:p w14:paraId="448B67F4" w14:textId="610E10CC" w:rsidR="00E245DD" w:rsidRPr="00510AD0" w:rsidRDefault="00A1254C" w:rsidP="005E6C80">
      <w:pPr>
        <w:pStyle w:val="TOC2"/>
        <w:rPr>
          <w:rFonts w:eastAsiaTheme="minorEastAsia"/>
          <w:noProof/>
          <w:sz w:val="22"/>
          <w:szCs w:val="22"/>
        </w:rPr>
      </w:pPr>
      <w:hyperlink w:anchor="_Toc99035824" w:history="1">
        <w:r w:rsidR="00E245DD" w:rsidRPr="00510AD0">
          <w:rPr>
            <w:rStyle w:val="Hyperlink"/>
            <w:noProof/>
            <w:specVanish/>
          </w:rPr>
          <w:t>2.4</w:t>
        </w:r>
        <w:r w:rsidR="00E245DD" w:rsidRPr="00510AD0">
          <w:rPr>
            <w:rFonts w:eastAsiaTheme="minorEastAsia"/>
            <w:noProof/>
            <w:sz w:val="22"/>
            <w:szCs w:val="22"/>
          </w:rPr>
          <w:tab/>
        </w:r>
        <w:r w:rsidR="00E245DD" w:rsidRPr="00510AD0">
          <w:rPr>
            <w:rStyle w:val="Hyperlink"/>
            <w:noProof/>
          </w:rPr>
          <w:t>Expected Initial Delivery Date Cure Period – and Delay Damages</w:t>
        </w:r>
        <w:r w:rsidR="00E245DD" w:rsidRPr="00510AD0">
          <w:rPr>
            <w:noProof/>
          </w:rPr>
          <w:tab/>
        </w:r>
        <w:r w:rsidR="00E245DD" w:rsidRPr="00510AD0">
          <w:rPr>
            <w:noProof/>
          </w:rPr>
          <w:fldChar w:fldCharType="begin"/>
        </w:r>
        <w:r w:rsidR="00E245DD" w:rsidRPr="00510AD0">
          <w:rPr>
            <w:noProof/>
          </w:rPr>
          <w:instrText xml:space="preserve"> PAGEREF _Toc99035824 \h </w:instrText>
        </w:r>
        <w:r w:rsidR="00E245DD" w:rsidRPr="00510AD0">
          <w:rPr>
            <w:noProof/>
          </w:rPr>
        </w:r>
        <w:r w:rsidR="00E245DD" w:rsidRPr="00510AD0">
          <w:rPr>
            <w:noProof/>
          </w:rPr>
          <w:fldChar w:fldCharType="separate"/>
        </w:r>
        <w:r w:rsidR="0077573F" w:rsidRPr="00510AD0">
          <w:rPr>
            <w:noProof/>
          </w:rPr>
          <w:t>4</w:t>
        </w:r>
        <w:r w:rsidR="00E245DD" w:rsidRPr="00510AD0">
          <w:rPr>
            <w:noProof/>
          </w:rPr>
          <w:fldChar w:fldCharType="end"/>
        </w:r>
      </w:hyperlink>
    </w:p>
    <w:p w14:paraId="331FD568" w14:textId="78F986E2" w:rsidR="00E245DD" w:rsidRPr="00510AD0" w:rsidRDefault="00A1254C" w:rsidP="005E6C80">
      <w:pPr>
        <w:pStyle w:val="TOC1"/>
        <w:rPr>
          <w:rFonts w:eastAsiaTheme="minorEastAsia"/>
          <w:noProof/>
          <w:sz w:val="22"/>
          <w:szCs w:val="22"/>
        </w:rPr>
      </w:pPr>
      <w:hyperlink w:anchor="_Toc99035825" w:history="1">
        <w:r w:rsidR="00E245DD" w:rsidRPr="00510AD0">
          <w:rPr>
            <w:rStyle w:val="Hyperlink"/>
            <w:noProof/>
          </w:rPr>
          <w:t>Article Three</w:t>
        </w:r>
        <w:r w:rsidR="005E6C80" w:rsidRPr="00510AD0">
          <w:rPr>
            <w:rStyle w:val="Hyperlink"/>
            <w:noProof/>
          </w:rPr>
          <w:t xml:space="preserve"> </w:t>
        </w:r>
        <w:r w:rsidR="00E245DD" w:rsidRPr="00510AD0">
          <w:rPr>
            <w:rStyle w:val="Hyperlink"/>
            <w:noProof/>
          </w:rPr>
          <w:t>TRANSACTION</w:t>
        </w:r>
        <w:r w:rsidR="00E245DD" w:rsidRPr="00510AD0">
          <w:rPr>
            <w:noProof/>
          </w:rPr>
          <w:tab/>
        </w:r>
        <w:r w:rsidR="00E245DD" w:rsidRPr="00510AD0">
          <w:rPr>
            <w:noProof/>
          </w:rPr>
          <w:fldChar w:fldCharType="begin"/>
        </w:r>
        <w:r w:rsidR="00E245DD" w:rsidRPr="00510AD0">
          <w:rPr>
            <w:noProof/>
          </w:rPr>
          <w:instrText xml:space="preserve"> PAGEREF _Toc99035825 \h </w:instrText>
        </w:r>
        <w:r w:rsidR="00E245DD" w:rsidRPr="00510AD0">
          <w:rPr>
            <w:noProof/>
          </w:rPr>
        </w:r>
        <w:r w:rsidR="00E245DD" w:rsidRPr="00510AD0">
          <w:rPr>
            <w:noProof/>
          </w:rPr>
          <w:fldChar w:fldCharType="separate"/>
        </w:r>
        <w:r w:rsidR="0077573F" w:rsidRPr="00510AD0">
          <w:rPr>
            <w:noProof/>
          </w:rPr>
          <w:t>5</w:t>
        </w:r>
        <w:r w:rsidR="00E245DD" w:rsidRPr="00510AD0">
          <w:rPr>
            <w:noProof/>
          </w:rPr>
          <w:fldChar w:fldCharType="end"/>
        </w:r>
      </w:hyperlink>
    </w:p>
    <w:p w14:paraId="674AC17C" w14:textId="0B4FAE5C" w:rsidR="00E245DD" w:rsidRPr="00510AD0" w:rsidRDefault="00A1254C" w:rsidP="005E6C80">
      <w:pPr>
        <w:pStyle w:val="TOC2"/>
        <w:rPr>
          <w:rFonts w:eastAsiaTheme="minorEastAsia"/>
          <w:noProof/>
          <w:sz w:val="22"/>
          <w:szCs w:val="22"/>
        </w:rPr>
      </w:pPr>
      <w:hyperlink w:anchor="_Toc99035826" w:history="1">
        <w:r w:rsidR="00E245DD" w:rsidRPr="00510AD0">
          <w:rPr>
            <w:rStyle w:val="Hyperlink"/>
            <w:noProof/>
            <w:specVanish/>
          </w:rPr>
          <w:t>3.1</w:t>
        </w:r>
        <w:r w:rsidR="00E245DD" w:rsidRPr="00510AD0">
          <w:rPr>
            <w:rFonts w:eastAsiaTheme="minorEastAsia"/>
            <w:noProof/>
            <w:sz w:val="22"/>
            <w:szCs w:val="22"/>
          </w:rPr>
          <w:tab/>
        </w:r>
        <w:r w:rsidR="00E245DD" w:rsidRPr="00510AD0">
          <w:rPr>
            <w:rStyle w:val="Hyperlink"/>
            <w:noProof/>
          </w:rPr>
          <w:t>Product</w:t>
        </w:r>
        <w:r w:rsidR="00E245DD" w:rsidRPr="00510AD0">
          <w:rPr>
            <w:noProof/>
          </w:rPr>
          <w:tab/>
        </w:r>
        <w:r w:rsidR="00E245DD" w:rsidRPr="00510AD0">
          <w:rPr>
            <w:noProof/>
          </w:rPr>
          <w:fldChar w:fldCharType="begin"/>
        </w:r>
        <w:r w:rsidR="00E245DD" w:rsidRPr="00510AD0">
          <w:rPr>
            <w:noProof/>
          </w:rPr>
          <w:instrText xml:space="preserve"> PAGEREF _Toc99035826 \h </w:instrText>
        </w:r>
        <w:r w:rsidR="00E245DD" w:rsidRPr="00510AD0">
          <w:rPr>
            <w:noProof/>
          </w:rPr>
        </w:r>
        <w:r w:rsidR="00E245DD" w:rsidRPr="00510AD0">
          <w:rPr>
            <w:noProof/>
          </w:rPr>
          <w:fldChar w:fldCharType="separate"/>
        </w:r>
        <w:r w:rsidR="0077573F" w:rsidRPr="00510AD0">
          <w:rPr>
            <w:noProof/>
          </w:rPr>
          <w:t>5</w:t>
        </w:r>
        <w:r w:rsidR="00E245DD" w:rsidRPr="00510AD0">
          <w:rPr>
            <w:noProof/>
          </w:rPr>
          <w:fldChar w:fldCharType="end"/>
        </w:r>
      </w:hyperlink>
    </w:p>
    <w:p w14:paraId="39ED8F8F" w14:textId="08C8104E" w:rsidR="00E245DD" w:rsidRPr="00510AD0" w:rsidRDefault="00A1254C" w:rsidP="005E6C80">
      <w:pPr>
        <w:pStyle w:val="TOC2"/>
        <w:rPr>
          <w:rFonts w:eastAsiaTheme="minorEastAsia"/>
          <w:noProof/>
          <w:sz w:val="22"/>
          <w:szCs w:val="22"/>
        </w:rPr>
      </w:pPr>
      <w:hyperlink w:anchor="_Toc99035827" w:history="1">
        <w:r w:rsidR="00E245DD" w:rsidRPr="00510AD0">
          <w:rPr>
            <w:rStyle w:val="Hyperlink"/>
            <w:noProof/>
            <w:specVanish/>
          </w:rPr>
          <w:t>3.2</w:t>
        </w:r>
        <w:r w:rsidR="00E245DD" w:rsidRPr="00510AD0">
          <w:rPr>
            <w:rFonts w:eastAsiaTheme="minorEastAsia"/>
            <w:noProof/>
            <w:sz w:val="22"/>
            <w:szCs w:val="22"/>
          </w:rPr>
          <w:tab/>
        </w:r>
        <w:r w:rsidR="00E245DD" w:rsidRPr="00510AD0">
          <w:rPr>
            <w:rStyle w:val="Hyperlink"/>
            <w:noProof/>
          </w:rPr>
          <w:t>Purchase and Sale Obligation</w:t>
        </w:r>
        <w:r w:rsidR="00E245DD" w:rsidRPr="00510AD0">
          <w:rPr>
            <w:noProof/>
          </w:rPr>
          <w:tab/>
        </w:r>
        <w:r w:rsidR="00E245DD" w:rsidRPr="00510AD0">
          <w:rPr>
            <w:noProof/>
          </w:rPr>
          <w:fldChar w:fldCharType="begin"/>
        </w:r>
        <w:r w:rsidR="00E245DD" w:rsidRPr="00510AD0">
          <w:rPr>
            <w:noProof/>
          </w:rPr>
          <w:instrText xml:space="preserve"> PAGEREF _Toc99035827 \h </w:instrText>
        </w:r>
        <w:r w:rsidR="00E245DD" w:rsidRPr="00510AD0">
          <w:rPr>
            <w:noProof/>
          </w:rPr>
        </w:r>
        <w:r w:rsidR="00E245DD" w:rsidRPr="00510AD0">
          <w:rPr>
            <w:noProof/>
          </w:rPr>
          <w:fldChar w:fldCharType="separate"/>
        </w:r>
        <w:r w:rsidR="0077573F" w:rsidRPr="00510AD0">
          <w:rPr>
            <w:noProof/>
          </w:rPr>
          <w:t>5</w:t>
        </w:r>
        <w:r w:rsidR="00E245DD" w:rsidRPr="00510AD0">
          <w:rPr>
            <w:noProof/>
          </w:rPr>
          <w:fldChar w:fldCharType="end"/>
        </w:r>
      </w:hyperlink>
    </w:p>
    <w:p w14:paraId="69A92ECC" w14:textId="16B3B072" w:rsidR="00E245DD" w:rsidRPr="00510AD0" w:rsidRDefault="00A1254C" w:rsidP="005E6C80">
      <w:pPr>
        <w:pStyle w:val="TOC2"/>
        <w:rPr>
          <w:rFonts w:eastAsiaTheme="minorEastAsia"/>
          <w:noProof/>
          <w:sz w:val="22"/>
          <w:szCs w:val="22"/>
        </w:rPr>
      </w:pPr>
      <w:hyperlink w:anchor="_Toc99035828" w:history="1">
        <w:r w:rsidR="00E245DD" w:rsidRPr="00510AD0">
          <w:rPr>
            <w:rStyle w:val="Hyperlink"/>
            <w:noProof/>
            <w:specVanish/>
          </w:rPr>
          <w:t>3.3</w:t>
        </w:r>
        <w:r w:rsidR="00E245DD" w:rsidRPr="00510AD0">
          <w:rPr>
            <w:rFonts w:eastAsiaTheme="minorEastAsia"/>
            <w:noProof/>
            <w:sz w:val="22"/>
            <w:szCs w:val="22"/>
          </w:rPr>
          <w:tab/>
        </w:r>
        <w:r w:rsidR="00E245DD" w:rsidRPr="00510AD0">
          <w:rPr>
            <w:rStyle w:val="Hyperlink"/>
            <w:noProof/>
          </w:rPr>
          <w:t>Project Modifications</w:t>
        </w:r>
        <w:r w:rsidR="00E245DD" w:rsidRPr="00510AD0">
          <w:rPr>
            <w:noProof/>
          </w:rPr>
          <w:tab/>
        </w:r>
        <w:r w:rsidR="00E245DD" w:rsidRPr="00510AD0">
          <w:rPr>
            <w:noProof/>
          </w:rPr>
          <w:fldChar w:fldCharType="begin"/>
        </w:r>
        <w:r w:rsidR="00E245DD" w:rsidRPr="00510AD0">
          <w:rPr>
            <w:noProof/>
          </w:rPr>
          <w:instrText xml:space="preserve"> PAGEREF _Toc99035828 \h </w:instrText>
        </w:r>
        <w:r w:rsidR="00E245DD" w:rsidRPr="00510AD0">
          <w:rPr>
            <w:noProof/>
          </w:rPr>
        </w:r>
        <w:r w:rsidR="00E245DD" w:rsidRPr="00510AD0">
          <w:rPr>
            <w:noProof/>
          </w:rPr>
          <w:fldChar w:fldCharType="separate"/>
        </w:r>
        <w:r w:rsidR="0077573F" w:rsidRPr="00510AD0">
          <w:rPr>
            <w:noProof/>
          </w:rPr>
          <w:t>6</w:t>
        </w:r>
        <w:r w:rsidR="00E245DD" w:rsidRPr="00510AD0">
          <w:rPr>
            <w:noProof/>
          </w:rPr>
          <w:fldChar w:fldCharType="end"/>
        </w:r>
      </w:hyperlink>
    </w:p>
    <w:p w14:paraId="1A753DC0" w14:textId="72205087" w:rsidR="00E245DD" w:rsidRPr="00510AD0" w:rsidRDefault="00A1254C" w:rsidP="005E6C80">
      <w:pPr>
        <w:pStyle w:val="TOC2"/>
        <w:rPr>
          <w:rFonts w:eastAsiaTheme="minorEastAsia"/>
          <w:noProof/>
          <w:sz w:val="22"/>
          <w:szCs w:val="22"/>
        </w:rPr>
      </w:pPr>
      <w:hyperlink w:anchor="_Toc99035829" w:history="1">
        <w:r w:rsidR="00E245DD" w:rsidRPr="00510AD0">
          <w:rPr>
            <w:rStyle w:val="Hyperlink"/>
            <w:noProof/>
            <w:specVanish/>
          </w:rPr>
          <w:t>3.4</w:t>
        </w:r>
        <w:r w:rsidR="00E245DD" w:rsidRPr="00510AD0">
          <w:rPr>
            <w:rFonts w:eastAsiaTheme="minorEastAsia"/>
            <w:noProof/>
            <w:sz w:val="22"/>
            <w:szCs w:val="22"/>
          </w:rPr>
          <w:tab/>
        </w:r>
        <w:r w:rsidR="00E245DD" w:rsidRPr="00510AD0">
          <w:rPr>
            <w:rStyle w:val="Hyperlink"/>
            <w:noProof/>
          </w:rPr>
          <w:t>Information Sharing</w:t>
        </w:r>
        <w:r w:rsidR="00E245DD" w:rsidRPr="00510AD0">
          <w:rPr>
            <w:noProof/>
          </w:rPr>
          <w:tab/>
        </w:r>
        <w:r w:rsidR="00E245DD" w:rsidRPr="00510AD0">
          <w:rPr>
            <w:noProof/>
          </w:rPr>
          <w:fldChar w:fldCharType="begin"/>
        </w:r>
        <w:r w:rsidR="00E245DD" w:rsidRPr="00510AD0">
          <w:rPr>
            <w:noProof/>
          </w:rPr>
          <w:instrText xml:space="preserve"> PAGEREF _Toc99035829 \h </w:instrText>
        </w:r>
        <w:r w:rsidR="00E245DD" w:rsidRPr="00510AD0">
          <w:rPr>
            <w:noProof/>
          </w:rPr>
        </w:r>
        <w:r w:rsidR="00E245DD" w:rsidRPr="00510AD0">
          <w:rPr>
            <w:noProof/>
          </w:rPr>
          <w:fldChar w:fldCharType="separate"/>
        </w:r>
        <w:r w:rsidR="0077573F" w:rsidRPr="00510AD0">
          <w:rPr>
            <w:noProof/>
          </w:rPr>
          <w:t>6</w:t>
        </w:r>
        <w:r w:rsidR="00E245DD" w:rsidRPr="00510AD0">
          <w:rPr>
            <w:noProof/>
          </w:rPr>
          <w:fldChar w:fldCharType="end"/>
        </w:r>
      </w:hyperlink>
    </w:p>
    <w:p w14:paraId="1ECEA8F9" w14:textId="48903E5E" w:rsidR="00E245DD" w:rsidRPr="00510AD0" w:rsidRDefault="00A1254C" w:rsidP="005E6C80">
      <w:pPr>
        <w:pStyle w:val="TOC2"/>
        <w:rPr>
          <w:rFonts w:eastAsiaTheme="minorEastAsia"/>
          <w:noProof/>
          <w:sz w:val="22"/>
          <w:szCs w:val="22"/>
        </w:rPr>
      </w:pPr>
      <w:hyperlink w:anchor="_Toc99035830" w:history="1">
        <w:r w:rsidR="00E245DD" w:rsidRPr="00510AD0">
          <w:rPr>
            <w:rStyle w:val="Hyperlink"/>
            <w:noProof/>
            <w:specVanish/>
          </w:rPr>
          <w:t>3.5</w:t>
        </w:r>
        <w:r w:rsidR="00E245DD" w:rsidRPr="00510AD0">
          <w:rPr>
            <w:rFonts w:eastAsiaTheme="minorEastAsia"/>
            <w:noProof/>
            <w:sz w:val="22"/>
            <w:szCs w:val="22"/>
          </w:rPr>
          <w:tab/>
        </w:r>
        <w:r w:rsidR="00E245DD" w:rsidRPr="00510AD0">
          <w:rPr>
            <w:rStyle w:val="Hyperlink"/>
            <w:noProof/>
          </w:rPr>
          <w:t>Certification of Product</w:t>
        </w:r>
        <w:r w:rsidR="00E245DD" w:rsidRPr="00510AD0">
          <w:rPr>
            <w:noProof/>
          </w:rPr>
          <w:tab/>
        </w:r>
        <w:r w:rsidR="00E245DD" w:rsidRPr="00510AD0">
          <w:rPr>
            <w:noProof/>
          </w:rPr>
          <w:fldChar w:fldCharType="begin"/>
        </w:r>
        <w:r w:rsidR="00E245DD" w:rsidRPr="00510AD0">
          <w:rPr>
            <w:noProof/>
          </w:rPr>
          <w:instrText xml:space="preserve"> PAGEREF _Toc99035830 \h </w:instrText>
        </w:r>
        <w:r w:rsidR="00E245DD" w:rsidRPr="00510AD0">
          <w:rPr>
            <w:noProof/>
          </w:rPr>
        </w:r>
        <w:r w:rsidR="00E245DD" w:rsidRPr="00510AD0">
          <w:rPr>
            <w:noProof/>
          </w:rPr>
          <w:fldChar w:fldCharType="separate"/>
        </w:r>
        <w:r w:rsidR="0077573F" w:rsidRPr="00510AD0">
          <w:rPr>
            <w:noProof/>
          </w:rPr>
          <w:t>7</w:t>
        </w:r>
        <w:r w:rsidR="00E245DD" w:rsidRPr="00510AD0">
          <w:rPr>
            <w:noProof/>
          </w:rPr>
          <w:fldChar w:fldCharType="end"/>
        </w:r>
      </w:hyperlink>
    </w:p>
    <w:p w14:paraId="7935111A" w14:textId="17303F48" w:rsidR="00E245DD" w:rsidRPr="00510AD0" w:rsidRDefault="00A1254C" w:rsidP="005E6C80">
      <w:pPr>
        <w:pStyle w:val="TOC2"/>
        <w:rPr>
          <w:rFonts w:eastAsiaTheme="minorEastAsia"/>
          <w:noProof/>
          <w:sz w:val="22"/>
          <w:szCs w:val="22"/>
        </w:rPr>
      </w:pPr>
      <w:hyperlink w:anchor="_Toc99035831" w:history="1">
        <w:r w:rsidR="00E245DD" w:rsidRPr="00510AD0">
          <w:rPr>
            <w:rStyle w:val="Hyperlink"/>
            <w:noProof/>
            <w:specVanish/>
          </w:rPr>
          <w:t>3.6</w:t>
        </w:r>
        <w:r w:rsidR="00E245DD" w:rsidRPr="00510AD0">
          <w:rPr>
            <w:rFonts w:eastAsiaTheme="minorEastAsia"/>
            <w:noProof/>
            <w:sz w:val="22"/>
            <w:szCs w:val="22"/>
          </w:rPr>
          <w:tab/>
        </w:r>
        <w:r w:rsidR="00E245DD" w:rsidRPr="00510AD0">
          <w:rPr>
            <w:rStyle w:val="Hyperlink"/>
            <w:noProof/>
          </w:rPr>
          <w:t>Delivery of Product: Buyer Compliance Showings</w:t>
        </w:r>
        <w:r w:rsidR="00E245DD" w:rsidRPr="00510AD0">
          <w:rPr>
            <w:noProof/>
          </w:rPr>
          <w:tab/>
        </w:r>
        <w:r w:rsidR="00E245DD" w:rsidRPr="00510AD0">
          <w:rPr>
            <w:noProof/>
          </w:rPr>
          <w:fldChar w:fldCharType="begin"/>
        </w:r>
        <w:r w:rsidR="00E245DD" w:rsidRPr="00510AD0">
          <w:rPr>
            <w:noProof/>
          </w:rPr>
          <w:instrText xml:space="preserve"> PAGEREF _Toc99035831 \h </w:instrText>
        </w:r>
        <w:r w:rsidR="00E245DD" w:rsidRPr="00510AD0">
          <w:rPr>
            <w:noProof/>
          </w:rPr>
        </w:r>
        <w:r w:rsidR="00E245DD" w:rsidRPr="00510AD0">
          <w:rPr>
            <w:noProof/>
          </w:rPr>
          <w:fldChar w:fldCharType="separate"/>
        </w:r>
        <w:r w:rsidR="0077573F" w:rsidRPr="00510AD0">
          <w:rPr>
            <w:noProof/>
          </w:rPr>
          <w:t>7</w:t>
        </w:r>
        <w:r w:rsidR="00E245DD" w:rsidRPr="00510AD0">
          <w:rPr>
            <w:noProof/>
          </w:rPr>
          <w:fldChar w:fldCharType="end"/>
        </w:r>
      </w:hyperlink>
    </w:p>
    <w:p w14:paraId="03DDF894" w14:textId="76D4B5C5" w:rsidR="00E245DD" w:rsidRPr="00510AD0" w:rsidRDefault="00A1254C" w:rsidP="005E6C80">
      <w:pPr>
        <w:pStyle w:val="TOC1"/>
        <w:rPr>
          <w:rFonts w:eastAsiaTheme="minorEastAsia"/>
          <w:noProof/>
          <w:sz w:val="22"/>
          <w:szCs w:val="22"/>
        </w:rPr>
      </w:pPr>
      <w:hyperlink w:anchor="_Toc99035832" w:history="1">
        <w:r w:rsidR="00E245DD" w:rsidRPr="00510AD0">
          <w:rPr>
            <w:rStyle w:val="Hyperlink"/>
            <w:noProof/>
          </w:rPr>
          <w:t>Article Four</w:t>
        </w:r>
        <w:r w:rsidR="005E6C80" w:rsidRPr="00510AD0">
          <w:rPr>
            <w:rStyle w:val="Hyperlink"/>
            <w:noProof/>
          </w:rPr>
          <w:t xml:space="preserve"> </w:t>
        </w:r>
        <w:r w:rsidR="00E245DD" w:rsidRPr="00510AD0">
          <w:rPr>
            <w:rStyle w:val="Hyperlink"/>
            <w:noProof/>
          </w:rPr>
          <w:t>INTERCONNECTION &amp; OPERATIONS</w:t>
        </w:r>
        <w:r w:rsidR="00E245DD" w:rsidRPr="00510AD0">
          <w:rPr>
            <w:noProof/>
          </w:rPr>
          <w:tab/>
        </w:r>
        <w:r w:rsidR="00E245DD" w:rsidRPr="00510AD0">
          <w:rPr>
            <w:noProof/>
          </w:rPr>
          <w:fldChar w:fldCharType="begin"/>
        </w:r>
        <w:r w:rsidR="00E245DD" w:rsidRPr="00510AD0">
          <w:rPr>
            <w:noProof/>
          </w:rPr>
          <w:instrText xml:space="preserve"> PAGEREF _Toc99035832 \h </w:instrText>
        </w:r>
        <w:r w:rsidR="00E245DD" w:rsidRPr="00510AD0">
          <w:rPr>
            <w:noProof/>
          </w:rPr>
        </w:r>
        <w:r w:rsidR="00E245DD" w:rsidRPr="00510AD0">
          <w:rPr>
            <w:noProof/>
          </w:rPr>
          <w:fldChar w:fldCharType="separate"/>
        </w:r>
        <w:r w:rsidR="0077573F" w:rsidRPr="00510AD0">
          <w:rPr>
            <w:noProof/>
          </w:rPr>
          <w:t>8</w:t>
        </w:r>
        <w:r w:rsidR="00E245DD" w:rsidRPr="00510AD0">
          <w:rPr>
            <w:noProof/>
          </w:rPr>
          <w:fldChar w:fldCharType="end"/>
        </w:r>
      </w:hyperlink>
    </w:p>
    <w:p w14:paraId="7595E90E" w14:textId="5AC6BFE3" w:rsidR="00E245DD" w:rsidRPr="00510AD0" w:rsidRDefault="00A1254C" w:rsidP="005E6C80">
      <w:pPr>
        <w:pStyle w:val="TOC2"/>
        <w:rPr>
          <w:rFonts w:eastAsiaTheme="minorEastAsia"/>
          <w:noProof/>
          <w:sz w:val="22"/>
          <w:szCs w:val="22"/>
        </w:rPr>
      </w:pPr>
      <w:hyperlink w:anchor="_Toc99035833" w:history="1">
        <w:r w:rsidR="00E245DD" w:rsidRPr="00510AD0">
          <w:rPr>
            <w:rStyle w:val="Hyperlink"/>
            <w:noProof/>
            <w:specVanish/>
          </w:rPr>
          <w:t>4.1</w:t>
        </w:r>
        <w:r w:rsidR="00E245DD" w:rsidRPr="00510AD0">
          <w:rPr>
            <w:rFonts w:eastAsiaTheme="minorEastAsia"/>
            <w:noProof/>
            <w:sz w:val="22"/>
            <w:szCs w:val="22"/>
          </w:rPr>
          <w:tab/>
        </w:r>
        <w:r w:rsidR="00E245DD" w:rsidRPr="00510AD0">
          <w:rPr>
            <w:rStyle w:val="Hyperlink"/>
            <w:noProof/>
          </w:rPr>
          <w:t>Interconnection Agreement</w:t>
        </w:r>
        <w:r w:rsidR="00E245DD" w:rsidRPr="00510AD0">
          <w:rPr>
            <w:noProof/>
          </w:rPr>
          <w:tab/>
        </w:r>
        <w:r w:rsidR="00E245DD" w:rsidRPr="00510AD0">
          <w:rPr>
            <w:noProof/>
          </w:rPr>
          <w:fldChar w:fldCharType="begin"/>
        </w:r>
        <w:r w:rsidR="00E245DD" w:rsidRPr="00510AD0">
          <w:rPr>
            <w:noProof/>
          </w:rPr>
          <w:instrText xml:space="preserve"> PAGEREF _Toc99035833 \h </w:instrText>
        </w:r>
        <w:r w:rsidR="00E245DD" w:rsidRPr="00510AD0">
          <w:rPr>
            <w:noProof/>
          </w:rPr>
        </w:r>
        <w:r w:rsidR="00E245DD" w:rsidRPr="00510AD0">
          <w:rPr>
            <w:noProof/>
          </w:rPr>
          <w:fldChar w:fldCharType="separate"/>
        </w:r>
        <w:r w:rsidR="0077573F" w:rsidRPr="00510AD0">
          <w:rPr>
            <w:noProof/>
          </w:rPr>
          <w:t>8</w:t>
        </w:r>
        <w:r w:rsidR="00E245DD" w:rsidRPr="00510AD0">
          <w:rPr>
            <w:noProof/>
          </w:rPr>
          <w:fldChar w:fldCharType="end"/>
        </w:r>
      </w:hyperlink>
    </w:p>
    <w:p w14:paraId="131AAD22" w14:textId="0859EB6F" w:rsidR="00E245DD" w:rsidRPr="00510AD0" w:rsidRDefault="00A1254C" w:rsidP="005E6C80">
      <w:pPr>
        <w:pStyle w:val="TOC2"/>
        <w:rPr>
          <w:rFonts w:eastAsiaTheme="minorEastAsia"/>
          <w:noProof/>
          <w:sz w:val="22"/>
          <w:szCs w:val="22"/>
        </w:rPr>
      </w:pPr>
      <w:hyperlink w:anchor="_Toc99035834" w:history="1">
        <w:r w:rsidR="00E245DD" w:rsidRPr="00510AD0">
          <w:rPr>
            <w:rStyle w:val="Hyperlink"/>
            <w:noProof/>
            <w:specVanish/>
          </w:rPr>
          <w:t>4.2</w:t>
        </w:r>
        <w:r w:rsidR="00E245DD" w:rsidRPr="00510AD0">
          <w:rPr>
            <w:rFonts w:eastAsiaTheme="minorEastAsia"/>
            <w:noProof/>
            <w:sz w:val="22"/>
            <w:szCs w:val="22"/>
          </w:rPr>
          <w:tab/>
        </w:r>
        <w:r w:rsidR="00E245DD" w:rsidRPr="00510AD0">
          <w:rPr>
            <w:rStyle w:val="Hyperlink"/>
            <w:noProof/>
          </w:rPr>
          <w:t>Operations</w:t>
        </w:r>
        <w:r w:rsidR="00E245DD" w:rsidRPr="00510AD0">
          <w:rPr>
            <w:noProof/>
          </w:rPr>
          <w:tab/>
        </w:r>
        <w:r w:rsidR="00E245DD" w:rsidRPr="00510AD0">
          <w:rPr>
            <w:noProof/>
          </w:rPr>
          <w:fldChar w:fldCharType="begin"/>
        </w:r>
        <w:r w:rsidR="00E245DD" w:rsidRPr="00510AD0">
          <w:rPr>
            <w:noProof/>
          </w:rPr>
          <w:instrText xml:space="preserve"> PAGEREF _Toc99035834 \h </w:instrText>
        </w:r>
        <w:r w:rsidR="00E245DD" w:rsidRPr="00510AD0">
          <w:rPr>
            <w:noProof/>
          </w:rPr>
        </w:r>
        <w:r w:rsidR="00E245DD" w:rsidRPr="00510AD0">
          <w:rPr>
            <w:noProof/>
          </w:rPr>
          <w:fldChar w:fldCharType="separate"/>
        </w:r>
        <w:r w:rsidR="0077573F" w:rsidRPr="00510AD0">
          <w:rPr>
            <w:noProof/>
          </w:rPr>
          <w:t>8</w:t>
        </w:r>
        <w:r w:rsidR="00E245DD" w:rsidRPr="00510AD0">
          <w:rPr>
            <w:noProof/>
          </w:rPr>
          <w:fldChar w:fldCharType="end"/>
        </w:r>
      </w:hyperlink>
    </w:p>
    <w:p w14:paraId="0170AC53" w14:textId="10A9B33F" w:rsidR="00E245DD" w:rsidRPr="00510AD0" w:rsidRDefault="00A1254C" w:rsidP="005E6C80">
      <w:pPr>
        <w:pStyle w:val="TOC2"/>
        <w:rPr>
          <w:rFonts w:eastAsiaTheme="minorEastAsia"/>
          <w:noProof/>
          <w:sz w:val="22"/>
          <w:szCs w:val="22"/>
        </w:rPr>
      </w:pPr>
      <w:hyperlink w:anchor="_Toc99035835" w:history="1">
        <w:r w:rsidR="00E245DD" w:rsidRPr="00510AD0">
          <w:rPr>
            <w:rStyle w:val="Hyperlink"/>
            <w:noProof/>
            <w:specVanish/>
          </w:rPr>
          <w:t>4.3</w:t>
        </w:r>
        <w:r w:rsidR="00E245DD" w:rsidRPr="00510AD0">
          <w:rPr>
            <w:rFonts w:eastAsiaTheme="minorEastAsia"/>
            <w:noProof/>
            <w:sz w:val="22"/>
            <w:szCs w:val="22"/>
          </w:rPr>
          <w:tab/>
        </w:r>
        <w:r w:rsidR="00E245DD" w:rsidRPr="00510AD0">
          <w:rPr>
            <w:rStyle w:val="Hyperlink"/>
            <w:noProof/>
          </w:rPr>
          <w:t>Metering</w:t>
        </w:r>
        <w:r w:rsidR="00E245DD" w:rsidRPr="00510AD0">
          <w:rPr>
            <w:noProof/>
          </w:rPr>
          <w:tab/>
        </w:r>
        <w:r w:rsidR="00E245DD" w:rsidRPr="00510AD0">
          <w:rPr>
            <w:noProof/>
          </w:rPr>
          <w:fldChar w:fldCharType="begin"/>
        </w:r>
        <w:r w:rsidR="00E245DD" w:rsidRPr="00510AD0">
          <w:rPr>
            <w:noProof/>
          </w:rPr>
          <w:instrText xml:space="preserve"> PAGEREF _Toc99035835 \h </w:instrText>
        </w:r>
        <w:r w:rsidR="00E245DD" w:rsidRPr="00510AD0">
          <w:rPr>
            <w:noProof/>
          </w:rPr>
        </w:r>
        <w:r w:rsidR="00E245DD" w:rsidRPr="00510AD0">
          <w:rPr>
            <w:noProof/>
          </w:rPr>
          <w:fldChar w:fldCharType="separate"/>
        </w:r>
        <w:r w:rsidR="0077573F" w:rsidRPr="00510AD0">
          <w:rPr>
            <w:noProof/>
          </w:rPr>
          <w:t>8</w:t>
        </w:r>
        <w:r w:rsidR="00E245DD" w:rsidRPr="00510AD0">
          <w:rPr>
            <w:noProof/>
          </w:rPr>
          <w:fldChar w:fldCharType="end"/>
        </w:r>
      </w:hyperlink>
    </w:p>
    <w:p w14:paraId="5A8F9DC1" w14:textId="51EC96DF" w:rsidR="00E245DD" w:rsidRPr="00510AD0" w:rsidRDefault="00A1254C" w:rsidP="005E6C80">
      <w:pPr>
        <w:pStyle w:val="TOC2"/>
        <w:rPr>
          <w:rFonts w:eastAsiaTheme="minorEastAsia"/>
          <w:noProof/>
          <w:sz w:val="22"/>
          <w:szCs w:val="22"/>
        </w:rPr>
      </w:pPr>
      <w:hyperlink w:anchor="_Toc99035836" w:history="1">
        <w:r w:rsidR="00E245DD" w:rsidRPr="00510AD0">
          <w:rPr>
            <w:rStyle w:val="Hyperlink"/>
            <w:noProof/>
          </w:rPr>
          <w:t>4.4</w:t>
        </w:r>
        <w:r w:rsidR="00E245DD" w:rsidRPr="00510AD0">
          <w:rPr>
            <w:rFonts w:eastAsiaTheme="minorEastAsia"/>
            <w:noProof/>
            <w:sz w:val="22"/>
            <w:szCs w:val="22"/>
          </w:rPr>
          <w:tab/>
        </w:r>
        <w:r w:rsidR="00E245DD" w:rsidRPr="00510AD0">
          <w:rPr>
            <w:rStyle w:val="Hyperlink"/>
            <w:noProof/>
          </w:rPr>
          <w:t>Scheduling.</w:t>
        </w:r>
        <w:r w:rsidR="00E245DD" w:rsidRPr="00510AD0">
          <w:rPr>
            <w:noProof/>
          </w:rPr>
          <w:tab/>
        </w:r>
        <w:r w:rsidR="00E245DD" w:rsidRPr="00510AD0">
          <w:rPr>
            <w:noProof/>
          </w:rPr>
          <w:fldChar w:fldCharType="begin"/>
        </w:r>
        <w:r w:rsidR="00E245DD" w:rsidRPr="00510AD0">
          <w:rPr>
            <w:noProof/>
          </w:rPr>
          <w:instrText xml:space="preserve"> PAGEREF _Toc99035836 \h </w:instrText>
        </w:r>
        <w:r w:rsidR="00E245DD" w:rsidRPr="00510AD0">
          <w:rPr>
            <w:noProof/>
          </w:rPr>
        </w:r>
        <w:r w:rsidR="00E245DD" w:rsidRPr="00510AD0">
          <w:rPr>
            <w:noProof/>
          </w:rPr>
          <w:fldChar w:fldCharType="separate"/>
        </w:r>
        <w:r w:rsidR="0077573F" w:rsidRPr="00510AD0">
          <w:rPr>
            <w:noProof/>
          </w:rPr>
          <w:t>8</w:t>
        </w:r>
        <w:r w:rsidR="00E245DD" w:rsidRPr="00510AD0">
          <w:rPr>
            <w:noProof/>
          </w:rPr>
          <w:fldChar w:fldCharType="end"/>
        </w:r>
      </w:hyperlink>
    </w:p>
    <w:p w14:paraId="52A3D865" w14:textId="60DDF225" w:rsidR="00E245DD" w:rsidRPr="00510AD0" w:rsidRDefault="00A1254C" w:rsidP="005E6C80">
      <w:pPr>
        <w:pStyle w:val="TOC2"/>
        <w:rPr>
          <w:rFonts w:eastAsiaTheme="minorEastAsia"/>
          <w:noProof/>
          <w:sz w:val="22"/>
          <w:szCs w:val="22"/>
        </w:rPr>
      </w:pPr>
      <w:hyperlink w:anchor="_Toc99035837" w:history="1">
        <w:r w:rsidR="00E245DD" w:rsidRPr="00510AD0">
          <w:rPr>
            <w:rStyle w:val="Hyperlink"/>
            <w:noProof/>
            <w:specVanish/>
          </w:rPr>
          <w:t>4.5</w:t>
        </w:r>
        <w:r w:rsidR="00E245DD" w:rsidRPr="00510AD0">
          <w:rPr>
            <w:rFonts w:eastAsiaTheme="minorEastAsia"/>
            <w:noProof/>
            <w:sz w:val="22"/>
            <w:szCs w:val="22"/>
          </w:rPr>
          <w:tab/>
        </w:r>
        <w:r w:rsidR="00386F19" w:rsidRPr="00510AD0">
          <w:rPr>
            <w:rFonts w:eastAsiaTheme="minorEastAsia"/>
            <w:noProof/>
            <w:sz w:val="22"/>
            <w:szCs w:val="22"/>
          </w:rPr>
          <w:t>[</w:t>
        </w:r>
        <w:r w:rsidR="00E245DD" w:rsidRPr="00510AD0">
          <w:rPr>
            <w:rStyle w:val="Hyperlink"/>
            <w:noProof/>
          </w:rPr>
          <w:t>Project Specific Requirements</w:t>
        </w:r>
        <w:r w:rsidR="00E245DD" w:rsidRPr="00510AD0">
          <w:rPr>
            <w:noProof/>
          </w:rPr>
          <w:tab/>
        </w:r>
        <w:r w:rsidR="00E245DD" w:rsidRPr="00510AD0">
          <w:rPr>
            <w:noProof/>
          </w:rPr>
          <w:fldChar w:fldCharType="begin"/>
        </w:r>
        <w:r w:rsidR="00E245DD" w:rsidRPr="00510AD0">
          <w:rPr>
            <w:noProof/>
          </w:rPr>
          <w:instrText xml:space="preserve"> PAGEREF _Toc99035837 \h </w:instrText>
        </w:r>
        <w:r w:rsidR="00E245DD" w:rsidRPr="00510AD0">
          <w:rPr>
            <w:noProof/>
          </w:rPr>
        </w:r>
        <w:r w:rsidR="00E245DD" w:rsidRPr="00510AD0">
          <w:rPr>
            <w:noProof/>
          </w:rPr>
          <w:fldChar w:fldCharType="separate"/>
        </w:r>
        <w:r w:rsidR="0077573F" w:rsidRPr="00510AD0">
          <w:rPr>
            <w:noProof/>
          </w:rPr>
          <w:t>9</w:t>
        </w:r>
        <w:r w:rsidR="00E245DD" w:rsidRPr="00510AD0">
          <w:rPr>
            <w:noProof/>
          </w:rPr>
          <w:fldChar w:fldCharType="end"/>
        </w:r>
      </w:hyperlink>
      <w:r w:rsidR="00386F19" w:rsidRPr="00510AD0">
        <w:rPr>
          <w:noProof/>
        </w:rPr>
        <w:t>]</w:t>
      </w:r>
    </w:p>
    <w:p w14:paraId="72B1737B" w14:textId="163445B4" w:rsidR="00E245DD" w:rsidRPr="00510AD0" w:rsidRDefault="00A1254C" w:rsidP="005E6C80">
      <w:pPr>
        <w:pStyle w:val="TOC2"/>
        <w:rPr>
          <w:rFonts w:eastAsiaTheme="minorEastAsia"/>
          <w:noProof/>
          <w:sz w:val="22"/>
          <w:szCs w:val="22"/>
        </w:rPr>
      </w:pPr>
      <w:hyperlink w:anchor="_Toc99035838" w:history="1">
        <w:r w:rsidR="00E245DD" w:rsidRPr="00510AD0">
          <w:rPr>
            <w:rStyle w:val="Hyperlink"/>
            <w:noProof/>
            <w:specVanish/>
          </w:rPr>
          <w:t>4.6</w:t>
        </w:r>
        <w:r w:rsidR="00E245DD" w:rsidRPr="00510AD0">
          <w:rPr>
            <w:rFonts w:eastAsiaTheme="minorEastAsia"/>
            <w:noProof/>
            <w:sz w:val="22"/>
            <w:szCs w:val="22"/>
          </w:rPr>
          <w:tab/>
        </w:r>
        <w:r w:rsidR="00386F19" w:rsidRPr="00510AD0">
          <w:rPr>
            <w:rStyle w:val="Hyperlink"/>
            <w:noProof/>
          </w:rPr>
          <w:t>[Reserved]</w:t>
        </w:r>
        <w:r w:rsidR="00E245DD" w:rsidRPr="00510AD0">
          <w:rPr>
            <w:noProof/>
          </w:rPr>
          <w:tab/>
        </w:r>
        <w:r w:rsidR="00E245DD" w:rsidRPr="00510AD0">
          <w:rPr>
            <w:noProof/>
          </w:rPr>
          <w:fldChar w:fldCharType="begin"/>
        </w:r>
        <w:r w:rsidR="00E245DD" w:rsidRPr="00510AD0">
          <w:rPr>
            <w:noProof/>
          </w:rPr>
          <w:instrText xml:space="preserve"> PAGEREF _Toc99035838 \h </w:instrText>
        </w:r>
        <w:r w:rsidR="00E245DD" w:rsidRPr="00510AD0">
          <w:rPr>
            <w:noProof/>
          </w:rPr>
        </w:r>
        <w:r w:rsidR="00E245DD" w:rsidRPr="00510AD0">
          <w:rPr>
            <w:noProof/>
          </w:rPr>
          <w:fldChar w:fldCharType="separate"/>
        </w:r>
        <w:r w:rsidR="0077573F" w:rsidRPr="00510AD0">
          <w:rPr>
            <w:noProof/>
          </w:rPr>
          <w:t>9</w:t>
        </w:r>
        <w:r w:rsidR="00E245DD" w:rsidRPr="00510AD0">
          <w:rPr>
            <w:noProof/>
          </w:rPr>
          <w:fldChar w:fldCharType="end"/>
        </w:r>
      </w:hyperlink>
    </w:p>
    <w:p w14:paraId="1CA818E4" w14:textId="4A89EAA3" w:rsidR="00E245DD" w:rsidRPr="00510AD0" w:rsidRDefault="00A1254C" w:rsidP="005E6C80">
      <w:pPr>
        <w:pStyle w:val="TOC2"/>
        <w:rPr>
          <w:rFonts w:eastAsiaTheme="minorEastAsia"/>
          <w:noProof/>
          <w:sz w:val="22"/>
          <w:szCs w:val="22"/>
        </w:rPr>
      </w:pPr>
      <w:hyperlink w:anchor="_Toc99035839" w:history="1">
        <w:r w:rsidR="00E245DD" w:rsidRPr="00510AD0">
          <w:rPr>
            <w:rStyle w:val="Hyperlink"/>
            <w:noProof/>
            <w:specVanish/>
          </w:rPr>
          <w:t>4.7</w:t>
        </w:r>
        <w:r w:rsidR="00E245DD" w:rsidRPr="00510AD0">
          <w:rPr>
            <w:rFonts w:eastAsiaTheme="minorEastAsia"/>
            <w:noProof/>
            <w:sz w:val="22"/>
            <w:szCs w:val="22"/>
          </w:rPr>
          <w:tab/>
        </w:r>
        <w:r w:rsidR="00E245DD" w:rsidRPr="00510AD0">
          <w:rPr>
            <w:rStyle w:val="Hyperlink"/>
            <w:noProof/>
          </w:rPr>
          <w:t>Standards of Care</w:t>
        </w:r>
        <w:r w:rsidR="00E245DD" w:rsidRPr="00510AD0">
          <w:rPr>
            <w:noProof/>
          </w:rPr>
          <w:tab/>
        </w:r>
        <w:r w:rsidR="00E245DD" w:rsidRPr="00510AD0">
          <w:rPr>
            <w:noProof/>
          </w:rPr>
          <w:fldChar w:fldCharType="begin"/>
        </w:r>
        <w:r w:rsidR="00E245DD" w:rsidRPr="00510AD0">
          <w:rPr>
            <w:noProof/>
          </w:rPr>
          <w:instrText xml:space="preserve"> PAGEREF _Toc99035839 \h </w:instrText>
        </w:r>
        <w:r w:rsidR="00E245DD" w:rsidRPr="00510AD0">
          <w:rPr>
            <w:noProof/>
          </w:rPr>
        </w:r>
        <w:r w:rsidR="00E245DD" w:rsidRPr="00510AD0">
          <w:rPr>
            <w:noProof/>
          </w:rPr>
          <w:fldChar w:fldCharType="separate"/>
        </w:r>
        <w:r w:rsidR="0077573F" w:rsidRPr="00510AD0">
          <w:rPr>
            <w:noProof/>
          </w:rPr>
          <w:t>9</w:t>
        </w:r>
        <w:r w:rsidR="00E245DD" w:rsidRPr="00510AD0">
          <w:rPr>
            <w:noProof/>
          </w:rPr>
          <w:fldChar w:fldCharType="end"/>
        </w:r>
      </w:hyperlink>
    </w:p>
    <w:p w14:paraId="77CFA92F" w14:textId="08976267" w:rsidR="00E245DD" w:rsidRPr="00510AD0" w:rsidRDefault="00A1254C" w:rsidP="005E6C80">
      <w:pPr>
        <w:pStyle w:val="TOC1"/>
        <w:rPr>
          <w:rFonts w:eastAsiaTheme="minorEastAsia"/>
          <w:noProof/>
          <w:sz w:val="22"/>
          <w:szCs w:val="22"/>
        </w:rPr>
      </w:pPr>
      <w:hyperlink w:anchor="_Toc99035840" w:history="1">
        <w:r w:rsidR="00E245DD" w:rsidRPr="00510AD0">
          <w:rPr>
            <w:rStyle w:val="Hyperlink"/>
            <w:noProof/>
          </w:rPr>
          <w:t>Article Five</w:t>
        </w:r>
        <w:r w:rsidR="005E6C80" w:rsidRPr="00510AD0">
          <w:rPr>
            <w:rStyle w:val="Hyperlink"/>
            <w:noProof/>
          </w:rPr>
          <w:t xml:space="preserve"> </w:t>
        </w:r>
        <w:r w:rsidR="00E245DD" w:rsidRPr="00510AD0">
          <w:rPr>
            <w:rStyle w:val="Hyperlink"/>
            <w:noProof/>
          </w:rPr>
          <w:t>SELLER’S  DELIVERY</w:t>
        </w:r>
        <w:r w:rsidR="00E245DD" w:rsidRPr="00510AD0">
          <w:rPr>
            <w:noProof/>
          </w:rPr>
          <w:tab/>
        </w:r>
        <w:r w:rsidR="00E245DD" w:rsidRPr="00510AD0">
          <w:rPr>
            <w:noProof/>
          </w:rPr>
          <w:fldChar w:fldCharType="begin"/>
        </w:r>
        <w:r w:rsidR="00E245DD" w:rsidRPr="00510AD0">
          <w:rPr>
            <w:noProof/>
          </w:rPr>
          <w:instrText xml:space="preserve"> PAGEREF _Toc99035840 \h </w:instrText>
        </w:r>
        <w:r w:rsidR="00E245DD" w:rsidRPr="00510AD0">
          <w:rPr>
            <w:noProof/>
          </w:rPr>
        </w:r>
        <w:r w:rsidR="00E245DD" w:rsidRPr="00510AD0">
          <w:rPr>
            <w:noProof/>
          </w:rPr>
          <w:fldChar w:fldCharType="separate"/>
        </w:r>
        <w:r w:rsidR="0077573F" w:rsidRPr="00510AD0">
          <w:rPr>
            <w:noProof/>
          </w:rPr>
          <w:t>10</w:t>
        </w:r>
        <w:r w:rsidR="00E245DD" w:rsidRPr="00510AD0">
          <w:rPr>
            <w:noProof/>
          </w:rPr>
          <w:fldChar w:fldCharType="end"/>
        </w:r>
      </w:hyperlink>
    </w:p>
    <w:p w14:paraId="749A5F6A" w14:textId="5EAB098E" w:rsidR="00E245DD" w:rsidRPr="00510AD0" w:rsidRDefault="00A1254C" w:rsidP="005E6C80">
      <w:pPr>
        <w:pStyle w:val="TOC2"/>
        <w:rPr>
          <w:rFonts w:eastAsiaTheme="minorEastAsia"/>
          <w:noProof/>
          <w:sz w:val="22"/>
          <w:szCs w:val="22"/>
        </w:rPr>
      </w:pPr>
      <w:hyperlink w:anchor="_Toc99035841" w:history="1">
        <w:r w:rsidR="00E245DD" w:rsidRPr="00510AD0">
          <w:rPr>
            <w:rStyle w:val="Hyperlink"/>
            <w:noProof/>
            <w:specVanish/>
          </w:rPr>
          <w:t>5.1</w:t>
        </w:r>
        <w:r w:rsidR="00E245DD" w:rsidRPr="00510AD0">
          <w:rPr>
            <w:rFonts w:eastAsiaTheme="minorEastAsia"/>
            <w:noProof/>
            <w:sz w:val="22"/>
            <w:szCs w:val="22"/>
          </w:rPr>
          <w:tab/>
        </w:r>
        <w:r w:rsidR="00E245DD" w:rsidRPr="00510AD0">
          <w:rPr>
            <w:rStyle w:val="Hyperlink"/>
            <w:noProof/>
          </w:rPr>
          <w:t>Confirmed Quantity</w:t>
        </w:r>
        <w:r w:rsidR="00E245DD" w:rsidRPr="00510AD0">
          <w:rPr>
            <w:noProof/>
          </w:rPr>
          <w:tab/>
        </w:r>
        <w:r w:rsidR="00E245DD" w:rsidRPr="00510AD0">
          <w:rPr>
            <w:noProof/>
          </w:rPr>
          <w:fldChar w:fldCharType="begin"/>
        </w:r>
        <w:r w:rsidR="00E245DD" w:rsidRPr="00510AD0">
          <w:rPr>
            <w:noProof/>
          </w:rPr>
          <w:instrText xml:space="preserve"> PAGEREF _Toc99035841 \h </w:instrText>
        </w:r>
        <w:r w:rsidR="00E245DD" w:rsidRPr="00510AD0">
          <w:rPr>
            <w:noProof/>
          </w:rPr>
        </w:r>
        <w:r w:rsidR="00E245DD" w:rsidRPr="00510AD0">
          <w:rPr>
            <w:noProof/>
          </w:rPr>
          <w:fldChar w:fldCharType="separate"/>
        </w:r>
        <w:r w:rsidR="0077573F" w:rsidRPr="00510AD0">
          <w:rPr>
            <w:noProof/>
          </w:rPr>
          <w:t>10</w:t>
        </w:r>
        <w:r w:rsidR="00E245DD" w:rsidRPr="00510AD0">
          <w:rPr>
            <w:noProof/>
          </w:rPr>
          <w:fldChar w:fldCharType="end"/>
        </w:r>
      </w:hyperlink>
    </w:p>
    <w:p w14:paraId="614B62B6" w14:textId="469717CB" w:rsidR="00E245DD" w:rsidRPr="00510AD0" w:rsidRDefault="00A1254C" w:rsidP="005E6C80">
      <w:pPr>
        <w:pStyle w:val="TOC2"/>
        <w:rPr>
          <w:rFonts w:eastAsiaTheme="minorEastAsia"/>
          <w:noProof/>
          <w:sz w:val="22"/>
          <w:szCs w:val="22"/>
        </w:rPr>
      </w:pPr>
      <w:hyperlink w:anchor="_Toc99035842" w:history="1">
        <w:r w:rsidR="00E245DD" w:rsidRPr="00510AD0">
          <w:rPr>
            <w:rStyle w:val="Hyperlink"/>
            <w:noProof/>
            <w:specVanish/>
          </w:rPr>
          <w:t>5.2</w:t>
        </w:r>
        <w:r w:rsidR="00E245DD" w:rsidRPr="00510AD0">
          <w:rPr>
            <w:rFonts w:eastAsiaTheme="minorEastAsia"/>
            <w:noProof/>
            <w:sz w:val="22"/>
            <w:szCs w:val="22"/>
          </w:rPr>
          <w:tab/>
        </w:r>
        <w:r w:rsidR="00E245DD" w:rsidRPr="00510AD0">
          <w:rPr>
            <w:rStyle w:val="Hyperlink"/>
            <w:noProof/>
          </w:rPr>
          <w:t>Post-Showing Shortfall Prior to Showing Month</w:t>
        </w:r>
        <w:r w:rsidR="00E245DD" w:rsidRPr="00510AD0">
          <w:rPr>
            <w:noProof/>
          </w:rPr>
          <w:tab/>
        </w:r>
        <w:r w:rsidR="00E245DD" w:rsidRPr="00510AD0">
          <w:rPr>
            <w:noProof/>
          </w:rPr>
          <w:fldChar w:fldCharType="begin"/>
        </w:r>
        <w:r w:rsidR="00E245DD" w:rsidRPr="00510AD0">
          <w:rPr>
            <w:noProof/>
          </w:rPr>
          <w:instrText xml:space="preserve"> PAGEREF _Toc99035842 \h </w:instrText>
        </w:r>
        <w:r w:rsidR="00E245DD" w:rsidRPr="00510AD0">
          <w:rPr>
            <w:noProof/>
          </w:rPr>
        </w:r>
        <w:r w:rsidR="00E245DD" w:rsidRPr="00510AD0">
          <w:rPr>
            <w:noProof/>
          </w:rPr>
          <w:fldChar w:fldCharType="separate"/>
        </w:r>
        <w:r w:rsidR="0077573F" w:rsidRPr="00510AD0">
          <w:rPr>
            <w:noProof/>
          </w:rPr>
          <w:t>10</w:t>
        </w:r>
        <w:r w:rsidR="00E245DD" w:rsidRPr="00510AD0">
          <w:rPr>
            <w:noProof/>
          </w:rPr>
          <w:fldChar w:fldCharType="end"/>
        </w:r>
      </w:hyperlink>
    </w:p>
    <w:p w14:paraId="2416CE0A" w14:textId="61AAF33E" w:rsidR="00E245DD" w:rsidRPr="00510AD0" w:rsidRDefault="00A1254C" w:rsidP="005E6C80">
      <w:pPr>
        <w:pStyle w:val="TOC1"/>
        <w:rPr>
          <w:rFonts w:eastAsiaTheme="minorEastAsia"/>
          <w:noProof/>
          <w:sz w:val="22"/>
          <w:szCs w:val="22"/>
        </w:rPr>
      </w:pPr>
      <w:hyperlink w:anchor="_Toc99035843" w:history="1">
        <w:r w:rsidR="00E245DD" w:rsidRPr="00510AD0">
          <w:rPr>
            <w:rStyle w:val="Hyperlink"/>
            <w:noProof/>
          </w:rPr>
          <w:t>Article Six</w:t>
        </w:r>
        <w:r w:rsidR="005E6C80" w:rsidRPr="00510AD0">
          <w:rPr>
            <w:rStyle w:val="Hyperlink"/>
            <w:noProof/>
          </w:rPr>
          <w:t xml:space="preserve"> </w:t>
        </w:r>
        <w:r w:rsidR="00E245DD" w:rsidRPr="00510AD0">
          <w:rPr>
            <w:rStyle w:val="Hyperlink"/>
            <w:noProof/>
          </w:rPr>
          <w:t>COMPENSATION</w:t>
        </w:r>
        <w:r w:rsidR="00E245DD" w:rsidRPr="00510AD0">
          <w:rPr>
            <w:noProof/>
          </w:rPr>
          <w:tab/>
        </w:r>
        <w:r w:rsidR="00E245DD" w:rsidRPr="00510AD0">
          <w:rPr>
            <w:noProof/>
          </w:rPr>
          <w:fldChar w:fldCharType="begin"/>
        </w:r>
        <w:r w:rsidR="00E245DD" w:rsidRPr="00510AD0">
          <w:rPr>
            <w:noProof/>
          </w:rPr>
          <w:instrText xml:space="preserve"> PAGEREF _Toc99035843 \h </w:instrText>
        </w:r>
        <w:r w:rsidR="00E245DD" w:rsidRPr="00510AD0">
          <w:rPr>
            <w:noProof/>
          </w:rPr>
        </w:r>
        <w:r w:rsidR="00E245DD" w:rsidRPr="00510AD0">
          <w:rPr>
            <w:noProof/>
          </w:rPr>
          <w:fldChar w:fldCharType="separate"/>
        </w:r>
        <w:r w:rsidR="0077573F" w:rsidRPr="00510AD0">
          <w:rPr>
            <w:noProof/>
          </w:rPr>
          <w:t>10</w:t>
        </w:r>
        <w:r w:rsidR="00E245DD" w:rsidRPr="00510AD0">
          <w:rPr>
            <w:noProof/>
          </w:rPr>
          <w:fldChar w:fldCharType="end"/>
        </w:r>
      </w:hyperlink>
    </w:p>
    <w:p w14:paraId="19EB1B05" w14:textId="1A4541E7" w:rsidR="00E245DD" w:rsidRPr="00510AD0" w:rsidRDefault="00A1254C" w:rsidP="005E6C80">
      <w:pPr>
        <w:pStyle w:val="TOC2"/>
        <w:rPr>
          <w:rFonts w:eastAsiaTheme="minorEastAsia"/>
          <w:noProof/>
          <w:sz w:val="22"/>
          <w:szCs w:val="22"/>
        </w:rPr>
      </w:pPr>
      <w:hyperlink w:anchor="_Toc99035844" w:history="1">
        <w:r w:rsidR="00E245DD" w:rsidRPr="00510AD0">
          <w:rPr>
            <w:rStyle w:val="Hyperlink"/>
            <w:noProof/>
            <w:specVanish/>
          </w:rPr>
          <w:t>6.1</w:t>
        </w:r>
        <w:r w:rsidR="00E245DD" w:rsidRPr="00510AD0">
          <w:rPr>
            <w:rFonts w:eastAsiaTheme="minorEastAsia"/>
            <w:noProof/>
            <w:sz w:val="22"/>
            <w:szCs w:val="22"/>
          </w:rPr>
          <w:tab/>
        </w:r>
        <w:r w:rsidR="00E245DD" w:rsidRPr="00510AD0">
          <w:rPr>
            <w:rStyle w:val="Hyperlink"/>
            <w:noProof/>
          </w:rPr>
          <w:t>Monthly Payment</w:t>
        </w:r>
        <w:r w:rsidR="00E245DD" w:rsidRPr="00510AD0">
          <w:rPr>
            <w:noProof/>
          </w:rPr>
          <w:tab/>
        </w:r>
        <w:r w:rsidR="00E245DD" w:rsidRPr="00510AD0">
          <w:rPr>
            <w:noProof/>
          </w:rPr>
          <w:fldChar w:fldCharType="begin"/>
        </w:r>
        <w:r w:rsidR="00E245DD" w:rsidRPr="00510AD0">
          <w:rPr>
            <w:noProof/>
          </w:rPr>
          <w:instrText xml:space="preserve"> PAGEREF _Toc99035844 \h </w:instrText>
        </w:r>
        <w:r w:rsidR="00E245DD" w:rsidRPr="00510AD0">
          <w:rPr>
            <w:noProof/>
          </w:rPr>
        </w:r>
        <w:r w:rsidR="00E245DD" w:rsidRPr="00510AD0">
          <w:rPr>
            <w:noProof/>
          </w:rPr>
          <w:fldChar w:fldCharType="separate"/>
        </w:r>
        <w:r w:rsidR="0077573F" w:rsidRPr="00510AD0">
          <w:rPr>
            <w:noProof/>
          </w:rPr>
          <w:t>10</w:t>
        </w:r>
        <w:r w:rsidR="00E245DD" w:rsidRPr="00510AD0">
          <w:rPr>
            <w:noProof/>
          </w:rPr>
          <w:fldChar w:fldCharType="end"/>
        </w:r>
      </w:hyperlink>
    </w:p>
    <w:p w14:paraId="6B7849EF" w14:textId="6D543F77" w:rsidR="00E245DD" w:rsidRPr="00510AD0" w:rsidRDefault="00A1254C" w:rsidP="005E6C80">
      <w:pPr>
        <w:pStyle w:val="TOC2"/>
        <w:rPr>
          <w:rFonts w:eastAsiaTheme="minorEastAsia"/>
          <w:noProof/>
          <w:sz w:val="22"/>
          <w:szCs w:val="22"/>
        </w:rPr>
      </w:pPr>
      <w:hyperlink w:anchor="_Toc99035845" w:history="1">
        <w:r w:rsidR="00E245DD" w:rsidRPr="00510AD0">
          <w:rPr>
            <w:rStyle w:val="Hyperlink"/>
            <w:noProof/>
            <w:specVanish/>
          </w:rPr>
          <w:t>6.2</w:t>
        </w:r>
        <w:r w:rsidR="00E245DD" w:rsidRPr="00510AD0">
          <w:rPr>
            <w:rFonts w:eastAsiaTheme="minorEastAsia"/>
            <w:noProof/>
            <w:sz w:val="22"/>
            <w:szCs w:val="22"/>
          </w:rPr>
          <w:tab/>
        </w:r>
        <w:r w:rsidR="00E245DD" w:rsidRPr="00510AD0">
          <w:rPr>
            <w:rStyle w:val="Hyperlink"/>
            <w:noProof/>
          </w:rPr>
          <w:t>[Energy Settlement</w:t>
        </w:r>
        <w:r w:rsidR="00E245DD" w:rsidRPr="00510AD0">
          <w:rPr>
            <w:noProof/>
          </w:rPr>
          <w:tab/>
        </w:r>
        <w:r w:rsidR="00E245DD" w:rsidRPr="00510AD0">
          <w:rPr>
            <w:noProof/>
          </w:rPr>
          <w:fldChar w:fldCharType="begin"/>
        </w:r>
        <w:r w:rsidR="00E245DD" w:rsidRPr="00510AD0">
          <w:rPr>
            <w:noProof/>
          </w:rPr>
          <w:instrText xml:space="preserve"> PAGEREF _Toc99035845 \h </w:instrText>
        </w:r>
        <w:r w:rsidR="00E245DD" w:rsidRPr="00510AD0">
          <w:rPr>
            <w:noProof/>
          </w:rPr>
        </w:r>
        <w:r w:rsidR="00E245DD" w:rsidRPr="00510AD0">
          <w:rPr>
            <w:noProof/>
          </w:rPr>
          <w:fldChar w:fldCharType="separate"/>
        </w:r>
        <w:r w:rsidR="0077573F" w:rsidRPr="00510AD0">
          <w:rPr>
            <w:noProof/>
          </w:rPr>
          <w:t>11</w:t>
        </w:r>
        <w:r w:rsidR="00E245DD" w:rsidRPr="00510AD0">
          <w:rPr>
            <w:noProof/>
          </w:rPr>
          <w:fldChar w:fldCharType="end"/>
        </w:r>
      </w:hyperlink>
    </w:p>
    <w:p w14:paraId="00B93BBB" w14:textId="5E075F1E" w:rsidR="00E245DD" w:rsidRPr="00510AD0" w:rsidRDefault="00A1254C" w:rsidP="005E6C80">
      <w:pPr>
        <w:pStyle w:val="TOC2"/>
        <w:rPr>
          <w:rFonts w:eastAsiaTheme="minorEastAsia"/>
          <w:noProof/>
          <w:sz w:val="22"/>
          <w:szCs w:val="22"/>
        </w:rPr>
      </w:pPr>
      <w:hyperlink w:anchor="_Toc99035846" w:history="1">
        <w:r w:rsidR="00E245DD" w:rsidRPr="00510AD0">
          <w:rPr>
            <w:rStyle w:val="Hyperlink"/>
            <w:noProof/>
          </w:rPr>
          <w:t>6.3</w:t>
        </w:r>
        <w:r w:rsidR="00E245DD" w:rsidRPr="00510AD0">
          <w:rPr>
            <w:rFonts w:eastAsiaTheme="minorEastAsia"/>
            <w:noProof/>
            <w:sz w:val="22"/>
            <w:szCs w:val="22"/>
          </w:rPr>
          <w:tab/>
        </w:r>
        <w:r w:rsidR="00E245DD" w:rsidRPr="00510AD0">
          <w:rPr>
            <w:rStyle w:val="Hyperlink"/>
            <w:noProof/>
          </w:rPr>
          <w:t>Allocation of CAISO Payments and Costs</w:t>
        </w:r>
        <w:r w:rsidR="00E245DD" w:rsidRPr="00510AD0">
          <w:rPr>
            <w:noProof/>
          </w:rPr>
          <w:tab/>
        </w:r>
        <w:r w:rsidR="00E245DD" w:rsidRPr="00510AD0">
          <w:rPr>
            <w:noProof/>
          </w:rPr>
          <w:fldChar w:fldCharType="begin"/>
        </w:r>
        <w:r w:rsidR="00E245DD" w:rsidRPr="00510AD0">
          <w:rPr>
            <w:noProof/>
          </w:rPr>
          <w:instrText xml:space="preserve"> PAGEREF _Toc99035846 \h </w:instrText>
        </w:r>
        <w:r w:rsidR="00E245DD" w:rsidRPr="00510AD0">
          <w:rPr>
            <w:noProof/>
          </w:rPr>
        </w:r>
        <w:r w:rsidR="00E245DD" w:rsidRPr="00510AD0">
          <w:rPr>
            <w:noProof/>
          </w:rPr>
          <w:fldChar w:fldCharType="separate"/>
        </w:r>
        <w:r w:rsidR="0077573F" w:rsidRPr="00510AD0">
          <w:rPr>
            <w:noProof/>
          </w:rPr>
          <w:t>11</w:t>
        </w:r>
        <w:r w:rsidR="00E245DD" w:rsidRPr="00510AD0">
          <w:rPr>
            <w:noProof/>
          </w:rPr>
          <w:fldChar w:fldCharType="end"/>
        </w:r>
      </w:hyperlink>
    </w:p>
    <w:p w14:paraId="5D35299B" w14:textId="1E7DEA0E" w:rsidR="00E245DD" w:rsidRPr="00510AD0" w:rsidRDefault="00A1254C" w:rsidP="005E6C80">
      <w:pPr>
        <w:pStyle w:val="TOC1"/>
        <w:rPr>
          <w:rFonts w:eastAsiaTheme="minorEastAsia"/>
          <w:noProof/>
          <w:sz w:val="22"/>
          <w:szCs w:val="22"/>
        </w:rPr>
      </w:pPr>
      <w:hyperlink w:anchor="_Toc99035847" w:history="1">
        <w:r w:rsidR="00E245DD" w:rsidRPr="00510AD0">
          <w:rPr>
            <w:rStyle w:val="Hyperlink"/>
            <w:noProof/>
          </w:rPr>
          <w:t>Article Seven</w:t>
        </w:r>
        <w:r w:rsidR="005E6C80" w:rsidRPr="00510AD0">
          <w:rPr>
            <w:rStyle w:val="Hyperlink"/>
            <w:noProof/>
          </w:rPr>
          <w:t xml:space="preserve"> </w:t>
        </w:r>
        <w:r w:rsidR="00E245DD" w:rsidRPr="00510AD0">
          <w:rPr>
            <w:rStyle w:val="Hyperlink"/>
            <w:noProof/>
          </w:rPr>
          <w:t>EVENTS OF DEFAULT; REMEDIES</w:t>
        </w:r>
        <w:r w:rsidR="00E245DD" w:rsidRPr="00510AD0">
          <w:rPr>
            <w:noProof/>
          </w:rPr>
          <w:tab/>
        </w:r>
        <w:r w:rsidR="00E245DD" w:rsidRPr="00510AD0">
          <w:rPr>
            <w:noProof/>
          </w:rPr>
          <w:fldChar w:fldCharType="begin"/>
        </w:r>
        <w:r w:rsidR="00E245DD" w:rsidRPr="00510AD0">
          <w:rPr>
            <w:noProof/>
          </w:rPr>
          <w:instrText xml:space="preserve"> PAGEREF _Toc99035847 \h </w:instrText>
        </w:r>
        <w:r w:rsidR="00E245DD" w:rsidRPr="00510AD0">
          <w:rPr>
            <w:noProof/>
          </w:rPr>
        </w:r>
        <w:r w:rsidR="00E245DD" w:rsidRPr="00510AD0">
          <w:rPr>
            <w:noProof/>
          </w:rPr>
          <w:fldChar w:fldCharType="separate"/>
        </w:r>
        <w:r w:rsidR="0077573F" w:rsidRPr="00510AD0">
          <w:rPr>
            <w:noProof/>
          </w:rPr>
          <w:t>12</w:t>
        </w:r>
        <w:r w:rsidR="00E245DD" w:rsidRPr="00510AD0">
          <w:rPr>
            <w:noProof/>
          </w:rPr>
          <w:fldChar w:fldCharType="end"/>
        </w:r>
      </w:hyperlink>
    </w:p>
    <w:p w14:paraId="5B8A13BF" w14:textId="28516ECE" w:rsidR="00E245DD" w:rsidRPr="00510AD0" w:rsidRDefault="00A1254C" w:rsidP="005E6C80">
      <w:pPr>
        <w:pStyle w:val="TOC2"/>
        <w:rPr>
          <w:rFonts w:eastAsiaTheme="minorEastAsia"/>
          <w:noProof/>
          <w:sz w:val="22"/>
          <w:szCs w:val="22"/>
        </w:rPr>
      </w:pPr>
      <w:hyperlink w:anchor="_Toc99035848" w:history="1">
        <w:r w:rsidR="00E245DD" w:rsidRPr="00510AD0">
          <w:rPr>
            <w:rStyle w:val="Hyperlink"/>
            <w:noProof/>
          </w:rPr>
          <w:t>7.1</w:t>
        </w:r>
        <w:r w:rsidR="00E245DD" w:rsidRPr="00510AD0">
          <w:rPr>
            <w:rFonts w:eastAsiaTheme="minorEastAsia"/>
            <w:noProof/>
            <w:sz w:val="22"/>
            <w:szCs w:val="22"/>
          </w:rPr>
          <w:tab/>
        </w:r>
        <w:r w:rsidR="00E245DD" w:rsidRPr="00510AD0">
          <w:rPr>
            <w:rStyle w:val="Hyperlink"/>
            <w:noProof/>
          </w:rPr>
          <w:t>Events of Default.</w:t>
        </w:r>
        <w:r w:rsidR="00E245DD" w:rsidRPr="00510AD0">
          <w:rPr>
            <w:noProof/>
          </w:rPr>
          <w:tab/>
        </w:r>
        <w:r w:rsidR="00E245DD" w:rsidRPr="00510AD0">
          <w:rPr>
            <w:noProof/>
          </w:rPr>
          <w:fldChar w:fldCharType="begin"/>
        </w:r>
        <w:r w:rsidR="00E245DD" w:rsidRPr="00510AD0">
          <w:rPr>
            <w:noProof/>
          </w:rPr>
          <w:instrText xml:space="preserve"> PAGEREF _Toc99035848 \h </w:instrText>
        </w:r>
        <w:r w:rsidR="00E245DD" w:rsidRPr="00510AD0">
          <w:rPr>
            <w:noProof/>
          </w:rPr>
        </w:r>
        <w:r w:rsidR="00E245DD" w:rsidRPr="00510AD0">
          <w:rPr>
            <w:noProof/>
          </w:rPr>
          <w:fldChar w:fldCharType="separate"/>
        </w:r>
        <w:r w:rsidR="0077573F" w:rsidRPr="00510AD0">
          <w:rPr>
            <w:noProof/>
          </w:rPr>
          <w:t>12</w:t>
        </w:r>
        <w:r w:rsidR="00E245DD" w:rsidRPr="00510AD0">
          <w:rPr>
            <w:noProof/>
          </w:rPr>
          <w:fldChar w:fldCharType="end"/>
        </w:r>
      </w:hyperlink>
    </w:p>
    <w:p w14:paraId="5B247607" w14:textId="3A7CACF2" w:rsidR="00E245DD" w:rsidRPr="00510AD0" w:rsidRDefault="00A1254C" w:rsidP="005E6C80">
      <w:pPr>
        <w:pStyle w:val="TOC2"/>
        <w:rPr>
          <w:rFonts w:eastAsiaTheme="minorEastAsia"/>
          <w:noProof/>
          <w:sz w:val="22"/>
          <w:szCs w:val="22"/>
        </w:rPr>
      </w:pPr>
      <w:hyperlink w:anchor="_Toc99035849" w:history="1">
        <w:r w:rsidR="00E245DD" w:rsidRPr="00510AD0">
          <w:rPr>
            <w:rStyle w:val="Hyperlink"/>
            <w:noProof/>
            <w:specVanish/>
          </w:rPr>
          <w:t>7.2</w:t>
        </w:r>
        <w:r w:rsidR="00E245DD" w:rsidRPr="00510AD0">
          <w:rPr>
            <w:rFonts w:eastAsiaTheme="minorEastAsia"/>
            <w:noProof/>
            <w:sz w:val="22"/>
            <w:szCs w:val="22"/>
          </w:rPr>
          <w:tab/>
        </w:r>
        <w:r w:rsidR="00E245DD" w:rsidRPr="00510AD0">
          <w:rPr>
            <w:rStyle w:val="Hyperlink"/>
            <w:noProof/>
          </w:rPr>
          <w:t>Early Termination</w:t>
        </w:r>
        <w:r w:rsidR="00E245DD" w:rsidRPr="00510AD0">
          <w:rPr>
            <w:noProof/>
          </w:rPr>
          <w:tab/>
        </w:r>
        <w:r w:rsidR="00E245DD" w:rsidRPr="00510AD0">
          <w:rPr>
            <w:noProof/>
          </w:rPr>
          <w:fldChar w:fldCharType="begin"/>
        </w:r>
        <w:r w:rsidR="00E245DD" w:rsidRPr="00510AD0">
          <w:rPr>
            <w:noProof/>
          </w:rPr>
          <w:instrText xml:space="preserve"> PAGEREF _Toc99035849 \h </w:instrText>
        </w:r>
        <w:r w:rsidR="00E245DD" w:rsidRPr="00510AD0">
          <w:rPr>
            <w:noProof/>
          </w:rPr>
        </w:r>
        <w:r w:rsidR="00E245DD" w:rsidRPr="00510AD0">
          <w:rPr>
            <w:noProof/>
          </w:rPr>
          <w:fldChar w:fldCharType="separate"/>
        </w:r>
        <w:r w:rsidR="0077573F" w:rsidRPr="00510AD0">
          <w:rPr>
            <w:noProof/>
          </w:rPr>
          <w:t>14</w:t>
        </w:r>
        <w:r w:rsidR="00E245DD" w:rsidRPr="00510AD0">
          <w:rPr>
            <w:noProof/>
          </w:rPr>
          <w:fldChar w:fldCharType="end"/>
        </w:r>
      </w:hyperlink>
    </w:p>
    <w:p w14:paraId="20D0DD1C" w14:textId="58EF439B" w:rsidR="00E245DD" w:rsidRPr="00510AD0" w:rsidRDefault="00A1254C" w:rsidP="005E6C80">
      <w:pPr>
        <w:pStyle w:val="TOC2"/>
        <w:rPr>
          <w:rFonts w:eastAsiaTheme="minorEastAsia"/>
          <w:noProof/>
          <w:sz w:val="22"/>
          <w:szCs w:val="22"/>
        </w:rPr>
      </w:pPr>
      <w:hyperlink w:anchor="_Toc99035850" w:history="1">
        <w:r w:rsidR="00E245DD" w:rsidRPr="00510AD0">
          <w:rPr>
            <w:rStyle w:val="Hyperlink"/>
            <w:noProof/>
            <w:specVanish/>
          </w:rPr>
          <w:t>7.3</w:t>
        </w:r>
        <w:r w:rsidR="00E245DD" w:rsidRPr="00510AD0">
          <w:rPr>
            <w:rFonts w:eastAsiaTheme="minorEastAsia"/>
            <w:noProof/>
            <w:sz w:val="22"/>
            <w:szCs w:val="22"/>
          </w:rPr>
          <w:tab/>
        </w:r>
        <w:r w:rsidR="00E245DD" w:rsidRPr="00510AD0">
          <w:rPr>
            <w:rStyle w:val="Hyperlink"/>
            <w:noProof/>
          </w:rPr>
          <w:t>Rights And Remedies Are Cumulative</w:t>
        </w:r>
        <w:r w:rsidR="00E245DD" w:rsidRPr="00510AD0">
          <w:rPr>
            <w:noProof/>
          </w:rPr>
          <w:tab/>
        </w:r>
        <w:r w:rsidR="00E245DD" w:rsidRPr="00510AD0">
          <w:rPr>
            <w:noProof/>
          </w:rPr>
          <w:fldChar w:fldCharType="begin"/>
        </w:r>
        <w:r w:rsidR="00E245DD" w:rsidRPr="00510AD0">
          <w:rPr>
            <w:noProof/>
          </w:rPr>
          <w:instrText xml:space="preserve"> PAGEREF _Toc99035850 \h </w:instrText>
        </w:r>
        <w:r w:rsidR="00E245DD" w:rsidRPr="00510AD0">
          <w:rPr>
            <w:noProof/>
          </w:rPr>
        </w:r>
        <w:r w:rsidR="00E245DD" w:rsidRPr="00510AD0">
          <w:rPr>
            <w:noProof/>
          </w:rPr>
          <w:fldChar w:fldCharType="separate"/>
        </w:r>
        <w:r w:rsidR="0077573F" w:rsidRPr="00510AD0">
          <w:rPr>
            <w:noProof/>
          </w:rPr>
          <w:t>15</w:t>
        </w:r>
        <w:r w:rsidR="00E245DD" w:rsidRPr="00510AD0">
          <w:rPr>
            <w:noProof/>
          </w:rPr>
          <w:fldChar w:fldCharType="end"/>
        </w:r>
      </w:hyperlink>
    </w:p>
    <w:p w14:paraId="07BF4A9A" w14:textId="6442B4AF" w:rsidR="00E245DD" w:rsidRPr="00510AD0" w:rsidRDefault="00A1254C" w:rsidP="005E6C80">
      <w:pPr>
        <w:pStyle w:val="TOC2"/>
        <w:rPr>
          <w:rFonts w:eastAsiaTheme="minorEastAsia"/>
          <w:noProof/>
          <w:sz w:val="22"/>
          <w:szCs w:val="22"/>
        </w:rPr>
      </w:pPr>
      <w:hyperlink w:anchor="_Toc99035851" w:history="1">
        <w:r w:rsidR="00E245DD" w:rsidRPr="00510AD0">
          <w:rPr>
            <w:rStyle w:val="Hyperlink"/>
            <w:noProof/>
            <w:specVanish/>
          </w:rPr>
          <w:t>7.4</w:t>
        </w:r>
        <w:r w:rsidR="00E245DD" w:rsidRPr="00510AD0">
          <w:rPr>
            <w:rFonts w:eastAsiaTheme="minorEastAsia"/>
            <w:noProof/>
            <w:sz w:val="22"/>
            <w:szCs w:val="22"/>
          </w:rPr>
          <w:tab/>
        </w:r>
        <w:r w:rsidR="00E245DD" w:rsidRPr="00510AD0">
          <w:rPr>
            <w:rStyle w:val="Hyperlink"/>
            <w:noProof/>
          </w:rPr>
          <w:t>Waiver</w:t>
        </w:r>
        <w:r w:rsidR="00E245DD" w:rsidRPr="00510AD0">
          <w:rPr>
            <w:noProof/>
          </w:rPr>
          <w:tab/>
        </w:r>
        <w:r w:rsidR="00E245DD" w:rsidRPr="00510AD0">
          <w:rPr>
            <w:noProof/>
          </w:rPr>
          <w:fldChar w:fldCharType="begin"/>
        </w:r>
        <w:r w:rsidR="00E245DD" w:rsidRPr="00510AD0">
          <w:rPr>
            <w:noProof/>
          </w:rPr>
          <w:instrText xml:space="preserve"> PAGEREF _Toc99035851 \h </w:instrText>
        </w:r>
        <w:r w:rsidR="00E245DD" w:rsidRPr="00510AD0">
          <w:rPr>
            <w:noProof/>
          </w:rPr>
        </w:r>
        <w:r w:rsidR="00E245DD" w:rsidRPr="00510AD0">
          <w:rPr>
            <w:noProof/>
          </w:rPr>
          <w:fldChar w:fldCharType="separate"/>
        </w:r>
        <w:r w:rsidR="0077573F" w:rsidRPr="00510AD0">
          <w:rPr>
            <w:noProof/>
          </w:rPr>
          <w:t>15</w:t>
        </w:r>
        <w:r w:rsidR="00E245DD" w:rsidRPr="00510AD0">
          <w:rPr>
            <w:noProof/>
          </w:rPr>
          <w:fldChar w:fldCharType="end"/>
        </w:r>
      </w:hyperlink>
    </w:p>
    <w:p w14:paraId="509D97BD" w14:textId="25E5D67E" w:rsidR="00E245DD" w:rsidRPr="00510AD0" w:rsidRDefault="00A1254C" w:rsidP="005E6C80">
      <w:pPr>
        <w:pStyle w:val="TOC1"/>
        <w:rPr>
          <w:rFonts w:eastAsiaTheme="minorEastAsia"/>
          <w:noProof/>
          <w:sz w:val="22"/>
          <w:szCs w:val="22"/>
        </w:rPr>
      </w:pPr>
      <w:hyperlink w:anchor="_Toc99035852" w:history="1">
        <w:r w:rsidR="00E245DD" w:rsidRPr="00510AD0">
          <w:rPr>
            <w:rStyle w:val="Hyperlink"/>
            <w:noProof/>
          </w:rPr>
          <w:t>Article Eight</w:t>
        </w:r>
        <w:r w:rsidR="005E6C80" w:rsidRPr="00510AD0">
          <w:rPr>
            <w:rStyle w:val="Hyperlink"/>
            <w:noProof/>
          </w:rPr>
          <w:t xml:space="preserve"> </w:t>
        </w:r>
        <w:r w:rsidR="00E245DD" w:rsidRPr="00510AD0">
          <w:rPr>
            <w:rStyle w:val="Hyperlink"/>
            <w:noProof/>
          </w:rPr>
          <w:t>FORCE MAJEURE</w:t>
        </w:r>
        <w:r w:rsidR="00E245DD" w:rsidRPr="00510AD0">
          <w:rPr>
            <w:noProof/>
          </w:rPr>
          <w:tab/>
        </w:r>
        <w:r w:rsidR="00E245DD" w:rsidRPr="00510AD0">
          <w:rPr>
            <w:noProof/>
          </w:rPr>
          <w:fldChar w:fldCharType="begin"/>
        </w:r>
        <w:r w:rsidR="00E245DD" w:rsidRPr="00510AD0">
          <w:rPr>
            <w:noProof/>
          </w:rPr>
          <w:instrText xml:space="preserve"> PAGEREF _Toc99035852 \h </w:instrText>
        </w:r>
        <w:r w:rsidR="00E245DD" w:rsidRPr="00510AD0">
          <w:rPr>
            <w:noProof/>
          </w:rPr>
        </w:r>
        <w:r w:rsidR="00E245DD" w:rsidRPr="00510AD0">
          <w:rPr>
            <w:noProof/>
          </w:rPr>
          <w:fldChar w:fldCharType="separate"/>
        </w:r>
        <w:r w:rsidR="0077573F" w:rsidRPr="00510AD0">
          <w:rPr>
            <w:noProof/>
          </w:rPr>
          <w:t>16</w:t>
        </w:r>
        <w:r w:rsidR="00E245DD" w:rsidRPr="00510AD0">
          <w:rPr>
            <w:noProof/>
          </w:rPr>
          <w:fldChar w:fldCharType="end"/>
        </w:r>
      </w:hyperlink>
    </w:p>
    <w:p w14:paraId="48D3046D" w14:textId="7D626441" w:rsidR="00E245DD" w:rsidRPr="00510AD0" w:rsidRDefault="00A1254C" w:rsidP="005E6C80">
      <w:pPr>
        <w:pStyle w:val="TOC2"/>
        <w:rPr>
          <w:rFonts w:eastAsiaTheme="minorEastAsia"/>
          <w:noProof/>
          <w:sz w:val="22"/>
          <w:szCs w:val="22"/>
        </w:rPr>
      </w:pPr>
      <w:hyperlink w:anchor="_Toc99035853" w:history="1">
        <w:r w:rsidR="00E245DD" w:rsidRPr="00510AD0">
          <w:rPr>
            <w:rStyle w:val="Hyperlink"/>
            <w:noProof/>
          </w:rPr>
          <w:t>8.1</w:t>
        </w:r>
        <w:r w:rsidR="00E245DD" w:rsidRPr="00510AD0">
          <w:rPr>
            <w:rFonts w:eastAsiaTheme="minorEastAsia"/>
            <w:noProof/>
            <w:sz w:val="22"/>
            <w:szCs w:val="22"/>
          </w:rPr>
          <w:tab/>
        </w:r>
        <w:r w:rsidR="00E245DD" w:rsidRPr="00510AD0">
          <w:rPr>
            <w:rStyle w:val="Hyperlink"/>
            <w:noProof/>
          </w:rPr>
          <w:t>Force Majeure.</w:t>
        </w:r>
        <w:r w:rsidR="00E245DD" w:rsidRPr="00510AD0">
          <w:rPr>
            <w:noProof/>
          </w:rPr>
          <w:tab/>
        </w:r>
        <w:r w:rsidR="00E245DD" w:rsidRPr="00510AD0">
          <w:rPr>
            <w:noProof/>
          </w:rPr>
          <w:fldChar w:fldCharType="begin"/>
        </w:r>
        <w:r w:rsidR="00E245DD" w:rsidRPr="00510AD0">
          <w:rPr>
            <w:noProof/>
          </w:rPr>
          <w:instrText xml:space="preserve"> PAGEREF _Toc99035853 \h </w:instrText>
        </w:r>
        <w:r w:rsidR="00E245DD" w:rsidRPr="00510AD0">
          <w:rPr>
            <w:noProof/>
          </w:rPr>
        </w:r>
        <w:r w:rsidR="00E245DD" w:rsidRPr="00510AD0">
          <w:rPr>
            <w:noProof/>
          </w:rPr>
          <w:fldChar w:fldCharType="separate"/>
        </w:r>
        <w:r w:rsidR="0077573F" w:rsidRPr="00510AD0">
          <w:rPr>
            <w:noProof/>
          </w:rPr>
          <w:t>16</w:t>
        </w:r>
        <w:r w:rsidR="00E245DD" w:rsidRPr="00510AD0">
          <w:rPr>
            <w:noProof/>
          </w:rPr>
          <w:fldChar w:fldCharType="end"/>
        </w:r>
      </w:hyperlink>
    </w:p>
    <w:p w14:paraId="625DB079" w14:textId="0F960879" w:rsidR="00E245DD" w:rsidRPr="00510AD0" w:rsidRDefault="00A1254C" w:rsidP="005E6C80">
      <w:pPr>
        <w:pStyle w:val="TOC1"/>
        <w:rPr>
          <w:rFonts w:eastAsiaTheme="minorEastAsia"/>
          <w:noProof/>
          <w:sz w:val="22"/>
          <w:szCs w:val="22"/>
        </w:rPr>
      </w:pPr>
      <w:hyperlink w:anchor="_Toc99035854" w:history="1">
        <w:r w:rsidR="00E245DD" w:rsidRPr="00510AD0">
          <w:rPr>
            <w:rStyle w:val="Hyperlink"/>
            <w:noProof/>
          </w:rPr>
          <w:t>Article Nine</w:t>
        </w:r>
        <w:r w:rsidR="005E6C80" w:rsidRPr="00510AD0">
          <w:rPr>
            <w:rStyle w:val="Hyperlink"/>
            <w:noProof/>
          </w:rPr>
          <w:t xml:space="preserve"> </w:t>
        </w:r>
        <w:r w:rsidR="00E245DD" w:rsidRPr="00510AD0">
          <w:rPr>
            <w:rStyle w:val="Hyperlink"/>
            <w:noProof/>
          </w:rPr>
          <w:t>PAYMENT AND NETTING</w:t>
        </w:r>
        <w:r w:rsidR="00E245DD" w:rsidRPr="00510AD0">
          <w:rPr>
            <w:noProof/>
          </w:rPr>
          <w:tab/>
        </w:r>
        <w:r w:rsidR="00E245DD" w:rsidRPr="00510AD0">
          <w:rPr>
            <w:noProof/>
          </w:rPr>
          <w:fldChar w:fldCharType="begin"/>
        </w:r>
        <w:r w:rsidR="00E245DD" w:rsidRPr="00510AD0">
          <w:rPr>
            <w:noProof/>
          </w:rPr>
          <w:instrText xml:space="preserve"> PAGEREF _Toc99035854 \h </w:instrText>
        </w:r>
        <w:r w:rsidR="00E245DD" w:rsidRPr="00510AD0">
          <w:rPr>
            <w:noProof/>
          </w:rPr>
        </w:r>
        <w:r w:rsidR="00E245DD" w:rsidRPr="00510AD0">
          <w:rPr>
            <w:noProof/>
          </w:rPr>
          <w:fldChar w:fldCharType="separate"/>
        </w:r>
        <w:r w:rsidR="0077573F" w:rsidRPr="00510AD0">
          <w:rPr>
            <w:noProof/>
          </w:rPr>
          <w:t>17</w:t>
        </w:r>
        <w:r w:rsidR="00E245DD" w:rsidRPr="00510AD0">
          <w:rPr>
            <w:noProof/>
          </w:rPr>
          <w:fldChar w:fldCharType="end"/>
        </w:r>
      </w:hyperlink>
    </w:p>
    <w:p w14:paraId="3F47FADB" w14:textId="33F30546" w:rsidR="00E245DD" w:rsidRPr="00510AD0" w:rsidRDefault="00A1254C" w:rsidP="005E6C80">
      <w:pPr>
        <w:pStyle w:val="TOC2"/>
        <w:rPr>
          <w:rFonts w:eastAsiaTheme="minorEastAsia"/>
          <w:noProof/>
          <w:sz w:val="22"/>
          <w:szCs w:val="22"/>
        </w:rPr>
      </w:pPr>
      <w:hyperlink w:anchor="_Toc99035855" w:history="1">
        <w:r w:rsidR="00E245DD" w:rsidRPr="00510AD0">
          <w:rPr>
            <w:rStyle w:val="Hyperlink"/>
            <w:noProof/>
            <w:specVanish/>
          </w:rPr>
          <w:t>9.1</w:t>
        </w:r>
        <w:r w:rsidR="00E245DD" w:rsidRPr="00510AD0">
          <w:rPr>
            <w:rFonts w:eastAsiaTheme="minorEastAsia"/>
            <w:noProof/>
            <w:sz w:val="22"/>
            <w:szCs w:val="22"/>
          </w:rPr>
          <w:tab/>
        </w:r>
        <w:r w:rsidR="00E245DD" w:rsidRPr="00510AD0">
          <w:rPr>
            <w:rStyle w:val="Hyperlink"/>
            <w:noProof/>
          </w:rPr>
          <w:t>Billing and Payment</w:t>
        </w:r>
        <w:r w:rsidR="00E245DD" w:rsidRPr="00510AD0">
          <w:rPr>
            <w:noProof/>
          </w:rPr>
          <w:tab/>
        </w:r>
        <w:r w:rsidR="00E245DD" w:rsidRPr="00510AD0">
          <w:rPr>
            <w:noProof/>
          </w:rPr>
          <w:fldChar w:fldCharType="begin"/>
        </w:r>
        <w:r w:rsidR="00E245DD" w:rsidRPr="00510AD0">
          <w:rPr>
            <w:noProof/>
          </w:rPr>
          <w:instrText xml:space="preserve"> PAGEREF _Toc99035855 \h </w:instrText>
        </w:r>
        <w:r w:rsidR="00E245DD" w:rsidRPr="00510AD0">
          <w:rPr>
            <w:noProof/>
          </w:rPr>
        </w:r>
        <w:r w:rsidR="00E245DD" w:rsidRPr="00510AD0">
          <w:rPr>
            <w:noProof/>
          </w:rPr>
          <w:fldChar w:fldCharType="separate"/>
        </w:r>
        <w:r w:rsidR="0077573F" w:rsidRPr="00510AD0">
          <w:rPr>
            <w:noProof/>
          </w:rPr>
          <w:t>17</w:t>
        </w:r>
        <w:r w:rsidR="00E245DD" w:rsidRPr="00510AD0">
          <w:rPr>
            <w:noProof/>
          </w:rPr>
          <w:fldChar w:fldCharType="end"/>
        </w:r>
      </w:hyperlink>
    </w:p>
    <w:p w14:paraId="476F88C9" w14:textId="534C9529" w:rsidR="00E245DD" w:rsidRPr="00510AD0" w:rsidRDefault="00A1254C" w:rsidP="005E6C80">
      <w:pPr>
        <w:pStyle w:val="TOC2"/>
        <w:rPr>
          <w:rFonts w:eastAsiaTheme="minorEastAsia"/>
          <w:noProof/>
          <w:sz w:val="22"/>
          <w:szCs w:val="22"/>
        </w:rPr>
      </w:pPr>
      <w:hyperlink w:anchor="_Toc99035856" w:history="1">
        <w:r w:rsidR="00E245DD" w:rsidRPr="00510AD0">
          <w:rPr>
            <w:rStyle w:val="Hyperlink"/>
            <w:noProof/>
            <w:specVanish/>
          </w:rPr>
          <w:t>9.2</w:t>
        </w:r>
        <w:r w:rsidR="00E245DD" w:rsidRPr="00510AD0">
          <w:rPr>
            <w:rFonts w:eastAsiaTheme="minorEastAsia"/>
            <w:noProof/>
            <w:sz w:val="22"/>
            <w:szCs w:val="22"/>
          </w:rPr>
          <w:tab/>
        </w:r>
        <w:r w:rsidR="00E245DD" w:rsidRPr="00510AD0">
          <w:rPr>
            <w:rStyle w:val="Hyperlink"/>
            <w:noProof/>
          </w:rPr>
          <w:t>Netting</w:t>
        </w:r>
        <w:r w:rsidR="00E245DD" w:rsidRPr="00510AD0">
          <w:rPr>
            <w:noProof/>
          </w:rPr>
          <w:tab/>
        </w:r>
        <w:r w:rsidR="00E245DD" w:rsidRPr="00510AD0">
          <w:rPr>
            <w:noProof/>
          </w:rPr>
          <w:fldChar w:fldCharType="begin"/>
        </w:r>
        <w:r w:rsidR="00E245DD" w:rsidRPr="00510AD0">
          <w:rPr>
            <w:noProof/>
          </w:rPr>
          <w:instrText xml:space="preserve"> PAGEREF _Toc99035856 \h </w:instrText>
        </w:r>
        <w:r w:rsidR="00E245DD" w:rsidRPr="00510AD0">
          <w:rPr>
            <w:noProof/>
          </w:rPr>
        </w:r>
        <w:r w:rsidR="00E245DD" w:rsidRPr="00510AD0">
          <w:rPr>
            <w:noProof/>
          </w:rPr>
          <w:fldChar w:fldCharType="separate"/>
        </w:r>
        <w:r w:rsidR="0077573F" w:rsidRPr="00510AD0">
          <w:rPr>
            <w:noProof/>
          </w:rPr>
          <w:t>17</w:t>
        </w:r>
        <w:r w:rsidR="00E245DD" w:rsidRPr="00510AD0">
          <w:rPr>
            <w:noProof/>
          </w:rPr>
          <w:fldChar w:fldCharType="end"/>
        </w:r>
      </w:hyperlink>
    </w:p>
    <w:p w14:paraId="1CDF7012" w14:textId="42AD1291" w:rsidR="00E245DD" w:rsidRPr="00510AD0" w:rsidRDefault="00A1254C" w:rsidP="005E6C80">
      <w:pPr>
        <w:pStyle w:val="TOC2"/>
        <w:rPr>
          <w:rFonts w:eastAsiaTheme="minorEastAsia"/>
          <w:noProof/>
          <w:sz w:val="22"/>
          <w:szCs w:val="22"/>
        </w:rPr>
      </w:pPr>
      <w:hyperlink w:anchor="_Toc99035857" w:history="1">
        <w:r w:rsidR="00E245DD" w:rsidRPr="00510AD0">
          <w:rPr>
            <w:rStyle w:val="Hyperlink"/>
            <w:noProof/>
            <w:specVanish/>
          </w:rPr>
          <w:t>9.3</w:t>
        </w:r>
        <w:r w:rsidR="00E245DD" w:rsidRPr="00510AD0">
          <w:rPr>
            <w:rFonts w:eastAsiaTheme="minorEastAsia"/>
            <w:noProof/>
            <w:sz w:val="22"/>
            <w:szCs w:val="22"/>
          </w:rPr>
          <w:tab/>
        </w:r>
        <w:r w:rsidR="00E245DD" w:rsidRPr="00510AD0">
          <w:rPr>
            <w:rStyle w:val="Hyperlink"/>
            <w:noProof/>
          </w:rPr>
          <w:t>Payment</w:t>
        </w:r>
        <w:r w:rsidR="00E245DD" w:rsidRPr="00510AD0">
          <w:rPr>
            <w:noProof/>
          </w:rPr>
          <w:tab/>
        </w:r>
        <w:r w:rsidR="00E245DD" w:rsidRPr="00510AD0">
          <w:rPr>
            <w:noProof/>
          </w:rPr>
          <w:fldChar w:fldCharType="begin"/>
        </w:r>
        <w:r w:rsidR="00E245DD" w:rsidRPr="00510AD0">
          <w:rPr>
            <w:noProof/>
          </w:rPr>
          <w:instrText xml:space="preserve"> PAGEREF _Toc99035857 \h </w:instrText>
        </w:r>
        <w:r w:rsidR="00E245DD" w:rsidRPr="00510AD0">
          <w:rPr>
            <w:noProof/>
          </w:rPr>
        </w:r>
        <w:r w:rsidR="00E245DD" w:rsidRPr="00510AD0">
          <w:rPr>
            <w:noProof/>
          </w:rPr>
          <w:fldChar w:fldCharType="separate"/>
        </w:r>
        <w:r w:rsidR="0077573F" w:rsidRPr="00510AD0">
          <w:rPr>
            <w:noProof/>
          </w:rPr>
          <w:t>18</w:t>
        </w:r>
        <w:r w:rsidR="00E245DD" w:rsidRPr="00510AD0">
          <w:rPr>
            <w:noProof/>
          </w:rPr>
          <w:fldChar w:fldCharType="end"/>
        </w:r>
      </w:hyperlink>
    </w:p>
    <w:p w14:paraId="42DB2F57" w14:textId="2C50CAFB" w:rsidR="00E245DD" w:rsidRPr="00510AD0" w:rsidRDefault="00A1254C" w:rsidP="005E6C80">
      <w:pPr>
        <w:pStyle w:val="TOC2"/>
        <w:rPr>
          <w:rFonts w:eastAsiaTheme="minorEastAsia"/>
          <w:noProof/>
          <w:sz w:val="22"/>
          <w:szCs w:val="22"/>
        </w:rPr>
      </w:pPr>
      <w:hyperlink w:anchor="_Toc99035858" w:history="1">
        <w:r w:rsidR="00E245DD" w:rsidRPr="00510AD0">
          <w:rPr>
            <w:rStyle w:val="Hyperlink"/>
            <w:noProof/>
            <w:specVanish/>
          </w:rPr>
          <w:t>9.4</w:t>
        </w:r>
        <w:r w:rsidR="00E245DD" w:rsidRPr="00510AD0">
          <w:rPr>
            <w:rFonts w:eastAsiaTheme="minorEastAsia"/>
            <w:noProof/>
            <w:sz w:val="22"/>
            <w:szCs w:val="22"/>
          </w:rPr>
          <w:tab/>
        </w:r>
        <w:r w:rsidR="00E245DD" w:rsidRPr="00510AD0">
          <w:rPr>
            <w:rStyle w:val="Hyperlink"/>
            <w:noProof/>
          </w:rPr>
          <w:t>Disputes and Adjustments of Invoices</w:t>
        </w:r>
        <w:r w:rsidR="00E245DD" w:rsidRPr="00510AD0">
          <w:rPr>
            <w:noProof/>
          </w:rPr>
          <w:tab/>
        </w:r>
        <w:r w:rsidR="00E245DD" w:rsidRPr="00510AD0">
          <w:rPr>
            <w:noProof/>
          </w:rPr>
          <w:fldChar w:fldCharType="begin"/>
        </w:r>
        <w:r w:rsidR="00E245DD" w:rsidRPr="00510AD0">
          <w:rPr>
            <w:noProof/>
          </w:rPr>
          <w:instrText xml:space="preserve"> PAGEREF _Toc99035858 \h </w:instrText>
        </w:r>
        <w:r w:rsidR="00E245DD" w:rsidRPr="00510AD0">
          <w:rPr>
            <w:noProof/>
          </w:rPr>
        </w:r>
        <w:r w:rsidR="00E245DD" w:rsidRPr="00510AD0">
          <w:rPr>
            <w:noProof/>
          </w:rPr>
          <w:fldChar w:fldCharType="separate"/>
        </w:r>
        <w:r w:rsidR="0077573F" w:rsidRPr="00510AD0">
          <w:rPr>
            <w:noProof/>
          </w:rPr>
          <w:t>18</w:t>
        </w:r>
        <w:r w:rsidR="00E245DD" w:rsidRPr="00510AD0">
          <w:rPr>
            <w:noProof/>
          </w:rPr>
          <w:fldChar w:fldCharType="end"/>
        </w:r>
      </w:hyperlink>
    </w:p>
    <w:p w14:paraId="6DB3FD69" w14:textId="06C893D5" w:rsidR="00E245DD" w:rsidRPr="00510AD0" w:rsidRDefault="00A1254C" w:rsidP="005E6C80">
      <w:pPr>
        <w:pStyle w:val="TOC1"/>
        <w:rPr>
          <w:rFonts w:eastAsiaTheme="minorEastAsia"/>
          <w:noProof/>
          <w:sz w:val="22"/>
          <w:szCs w:val="22"/>
        </w:rPr>
      </w:pPr>
      <w:hyperlink w:anchor="_Toc99035859" w:history="1">
        <w:r w:rsidR="00E245DD" w:rsidRPr="00510AD0">
          <w:rPr>
            <w:rStyle w:val="Hyperlink"/>
            <w:noProof/>
          </w:rPr>
          <w:t>Article Ten</w:t>
        </w:r>
        <w:r w:rsidR="005E6C80" w:rsidRPr="00510AD0">
          <w:rPr>
            <w:rStyle w:val="Hyperlink"/>
            <w:noProof/>
          </w:rPr>
          <w:t xml:space="preserve"> </w:t>
        </w:r>
        <w:r w:rsidR="00E245DD" w:rsidRPr="00510AD0">
          <w:rPr>
            <w:rStyle w:val="Hyperlink"/>
            <w:noProof/>
          </w:rPr>
          <w:t>CREDIT AND COLLATERAL REQUIREMENTS</w:t>
        </w:r>
        <w:r w:rsidR="00E245DD" w:rsidRPr="00510AD0">
          <w:rPr>
            <w:noProof/>
          </w:rPr>
          <w:tab/>
        </w:r>
        <w:r w:rsidR="00E245DD" w:rsidRPr="00510AD0">
          <w:rPr>
            <w:noProof/>
          </w:rPr>
          <w:fldChar w:fldCharType="begin"/>
        </w:r>
        <w:r w:rsidR="00E245DD" w:rsidRPr="00510AD0">
          <w:rPr>
            <w:noProof/>
          </w:rPr>
          <w:instrText xml:space="preserve"> PAGEREF _Toc99035859 \h </w:instrText>
        </w:r>
        <w:r w:rsidR="00E245DD" w:rsidRPr="00510AD0">
          <w:rPr>
            <w:noProof/>
          </w:rPr>
        </w:r>
        <w:r w:rsidR="00E245DD" w:rsidRPr="00510AD0">
          <w:rPr>
            <w:noProof/>
          </w:rPr>
          <w:fldChar w:fldCharType="separate"/>
        </w:r>
        <w:r w:rsidR="0077573F" w:rsidRPr="00510AD0">
          <w:rPr>
            <w:noProof/>
          </w:rPr>
          <w:t>18</w:t>
        </w:r>
        <w:r w:rsidR="00E245DD" w:rsidRPr="00510AD0">
          <w:rPr>
            <w:noProof/>
          </w:rPr>
          <w:fldChar w:fldCharType="end"/>
        </w:r>
      </w:hyperlink>
    </w:p>
    <w:p w14:paraId="2D0D990F" w14:textId="2A464807" w:rsidR="00E245DD" w:rsidRPr="00510AD0" w:rsidRDefault="00A1254C" w:rsidP="005E6C80">
      <w:pPr>
        <w:pStyle w:val="TOC2"/>
        <w:rPr>
          <w:rFonts w:eastAsiaTheme="minorEastAsia"/>
          <w:noProof/>
          <w:sz w:val="22"/>
          <w:szCs w:val="22"/>
        </w:rPr>
      </w:pPr>
      <w:hyperlink w:anchor="_Toc99035860" w:history="1">
        <w:r w:rsidR="00E245DD" w:rsidRPr="00510AD0">
          <w:rPr>
            <w:rStyle w:val="Hyperlink"/>
            <w:noProof/>
            <w:specVanish/>
          </w:rPr>
          <w:t>10.1</w:t>
        </w:r>
        <w:r w:rsidR="00E245DD" w:rsidRPr="00510AD0">
          <w:rPr>
            <w:rFonts w:eastAsiaTheme="minorEastAsia"/>
            <w:noProof/>
            <w:sz w:val="22"/>
            <w:szCs w:val="22"/>
          </w:rPr>
          <w:tab/>
        </w:r>
        <w:r w:rsidR="00E245DD" w:rsidRPr="00510AD0">
          <w:rPr>
            <w:rStyle w:val="Hyperlink"/>
            <w:noProof/>
          </w:rPr>
          <w:t>Buyer Financial Information</w:t>
        </w:r>
        <w:r w:rsidR="00E245DD" w:rsidRPr="00510AD0">
          <w:rPr>
            <w:noProof/>
          </w:rPr>
          <w:tab/>
        </w:r>
        <w:r w:rsidR="00E245DD" w:rsidRPr="00510AD0">
          <w:rPr>
            <w:noProof/>
          </w:rPr>
          <w:fldChar w:fldCharType="begin"/>
        </w:r>
        <w:r w:rsidR="00E245DD" w:rsidRPr="00510AD0">
          <w:rPr>
            <w:noProof/>
          </w:rPr>
          <w:instrText xml:space="preserve"> PAGEREF _Toc99035860 \h </w:instrText>
        </w:r>
        <w:r w:rsidR="00E245DD" w:rsidRPr="00510AD0">
          <w:rPr>
            <w:noProof/>
          </w:rPr>
        </w:r>
        <w:r w:rsidR="00E245DD" w:rsidRPr="00510AD0">
          <w:rPr>
            <w:noProof/>
          </w:rPr>
          <w:fldChar w:fldCharType="separate"/>
        </w:r>
        <w:r w:rsidR="0077573F" w:rsidRPr="00510AD0">
          <w:rPr>
            <w:noProof/>
          </w:rPr>
          <w:t>18</w:t>
        </w:r>
        <w:r w:rsidR="00E245DD" w:rsidRPr="00510AD0">
          <w:rPr>
            <w:noProof/>
          </w:rPr>
          <w:fldChar w:fldCharType="end"/>
        </w:r>
      </w:hyperlink>
    </w:p>
    <w:p w14:paraId="7DB5AE49" w14:textId="385863ED" w:rsidR="00E245DD" w:rsidRPr="00510AD0" w:rsidRDefault="00A1254C" w:rsidP="005E6C80">
      <w:pPr>
        <w:pStyle w:val="TOC2"/>
        <w:rPr>
          <w:rFonts w:eastAsiaTheme="minorEastAsia"/>
          <w:noProof/>
          <w:sz w:val="22"/>
          <w:szCs w:val="22"/>
        </w:rPr>
      </w:pPr>
      <w:hyperlink w:anchor="_Toc99035861" w:history="1">
        <w:r w:rsidR="00E245DD" w:rsidRPr="00510AD0">
          <w:rPr>
            <w:rStyle w:val="Hyperlink"/>
            <w:noProof/>
            <w:specVanish/>
          </w:rPr>
          <w:t>10.2</w:t>
        </w:r>
        <w:r w:rsidR="00E245DD" w:rsidRPr="00510AD0">
          <w:rPr>
            <w:rFonts w:eastAsiaTheme="minorEastAsia"/>
            <w:noProof/>
            <w:sz w:val="22"/>
            <w:szCs w:val="22"/>
          </w:rPr>
          <w:tab/>
        </w:r>
        <w:r w:rsidR="00E245DD" w:rsidRPr="00510AD0">
          <w:rPr>
            <w:rStyle w:val="Hyperlink"/>
            <w:noProof/>
          </w:rPr>
          <w:t>Seller Financial Information</w:t>
        </w:r>
        <w:r w:rsidR="00E245DD" w:rsidRPr="00510AD0">
          <w:rPr>
            <w:noProof/>
          </w:rPr>
          <w:tab/>
        </w:r>
        <w:r w:rsidR="00E245DD" w:rsidRPr="00510AD0">
          <w:rPr>
            <w:noProof/>
          </w:rPr>
          <w:fldChar w:fldCharType="begin"/>
        </w:r>
        <w:r w:rsidR="00E245DD" w:rsidRPr="00510AD0">
          <w:rPr>
            <w:noProof/>
          </w:rPr>
          <w:instrText xml:space="preserve"> PAGEREF _Toc99035861 \h </w:instrText>
        </w:r>
        <w:r w:rsidR="00E245DD" w:rsidRPr="00510AD0">
          <w:rPr>
            <w:noProof/>
          </w:rPr>
        </w:r>
        <w:r w:rsidR="00E245DD" w:rsidRPr="00510AD0">
          <w:rPr>
            <w:noProof/>
          </w:rPr>
          <w:fldChar w:fldCharType="separate"/>
        </w:r>
        <w:r w:rsidR="0077573F" w:rsidRPr="00510AD0">
          <w:rPr>
            <w:noProof/>
          </w:rPr>
          <w:t>19</w:t>
        </w:r>
        <w:r w:rsidR="00E245DD" w:rsidRPr="00510AD0">
          <w:rPr>
            <w:noProof/>
          </w:rPr>
          <w:fldChar w:fldCharType="end"/>
        </w:r>
      </w:hyperlink>
    </w:p>
    <w:p w14:paraId="3DEC1E8E" w14:textId="3B9ECF38" w:rsidR="00E245DD" w:rsidRPr="00510AD0" w:rsidRDefault="00A1254C" w:rsidP="005E6C80">
      <w:pPr>
        <w:pStyle w:val="TOC2"/>
        <w:rPr>
          <w:rFonts w:eastAsiaTheme="minorEastAsia"/>
          <w:noProof/>
          <w:sz w:val="22"/>
          <w:szCs w:val="22"/>
        </w:rPr>
      </w:pPr>
      <w:hyperlink w:anchor="_Toc99035862" w:history="1">
        <w:r w:rsidR="00E245DD" w:rsidRPr="00510AD0">
          <w:rPr>
            <w:rStyle w:val="Hyperlink"/>
            <w:noProof/>
            <w:specVanish/>
          </w:rPr>
          <w:t>10.3</w:t>
        </w:r>
        <w:r w:rsidR="00E245DD" w:rsidRPr="00510AD0">
          <w:rPr>
            <w:rFonts w:eastAsiaTheme="minorEastAsia"/>
            <w:noProof/>
            <w:sz w:val="22"/>
            <w:szCs w:val="22"/>
          </w:rPr>
          <w:tab/>
        </w:r>
        <w:r w:rsidR="00E245DD" w:rsidRPr="00510AD0">
          <w:rPr>
            <w:rStyle w:val="Hyperlink"/>
            <w:noProof/>
          </w:rPr>
          <w:t>Grant of Security Interest/Remedies</w:t>
        </w:r>
        <w:r w:rsidR="00E245DD" w:rsidRPr="00510AD0">
          <w:rPr>
            <w:noProof/>
          </w:rPr>
          <w:tab/>
        </w:r>
        <w:r w:rsidR="00E245DD" w:rsidRPr="00510AD0">
          <w:rPr>
            <w:noProof/>
          </w:rPr>
          <w:fldChar w:fldCharType="begin"/>
        </w:r>
        <w:r w:rsidR="00E245DD" w:rsidRPr="00510AD0">
          <w:rPr>
            <w:noProof/>
          </w:rPr>
          <w:instrText xml:space="preserve"> PAGEREF _Toc99035862 \h </w:instrText>
        </w:r>
        <w:r w:rsidR="00E245DD" w:rsidRPr="00510AD0">
          <w:rPr>
            <w:noProof/>
          </w:rPr>
        </w:r>
        <w:r w:rsidR="00E245DD" w:rsidRPr="00510AD0">
          <w:rPr>
            <w:noProof/>
          </w:rPr>
          <w:fldChar w:fldCharType="separate"/>
        </w:r>
        <w:r w:rsidR="0077573F" w:rsidRPr="00510AD0">
          <w:rPr>
            <w:noProof/>
          </w:rPr>
          <w:t>19</w:t>
        </w:r>
        <w:r w:rsidR="00E245DD" w:rsidRPr="00510AD0">
          <w:rPr>
            <w:noProof/>
          </w:rPr>
          <w:fldChar w:fldCharType="end"/>
        </w:r>
      </w:hyperlink>
    </w:p>
    <w:p w14:paraId="265D0721" w14:textId="1743BF99" w:rsidR="00E245DD" w:rsidRPr="00510AD0" w:rsidRDefault="00A1254C" w:rsidP="005E6C80">
      <w:pPr>
        <w:pStyle w:val="TOC2"/>
        <w:rPr>
          <w:rFonts w:eastAsiaTheme="minorEastAsia"/>
          <w:noProof/>
          <w:sz w:val="22"/>
          <w:szCs w:val="22"/>
        </w:rPr>
      </w:pPr>
      <w:hyperlink w:anchor="_Toc99035863" w:history="1">
        <w:r w:rsidR="00E245DD" w:rsidRPr="00510AD0">
          <w:rPr>
            <w:rStyle w:val="Hyperlink"/>
            <w:noProof/>
          </w:rPr>
          <w:t>10.4</w:t>
        </w:r>
        <w:r w:rsidR="00E245DD" w:rsidRPr="00510AD0">
          <w:rPr>
            <w:rFonts w:eastAsiaTheme="minorEastAsia"/>
            <w:noProof/>
            <w:sz w:val="22"/>
            <w:szCs w:val="22"/>
          </w:rPr>
          <w:tab/>
        </w:r>
        <w:r w:rsidR="00E245DD" w:rsidRPr="00510AD0">
          <w:rPr>
            <w:rStyle w:val="Hyperlink"/>
            <w:noProof/>
          </w:rPr>
          <w:t>Performance Assurance.</w:t>
        </w:r>
        <w:r w:rsidR="00E245DD" w:rsidRPr="00510AD0">
          <w:rPr>
            <w:noProof/>
          </w:rPr>
          <w:tab/>
        </w:r>
        <w:r w:rsidR="00E245DD" w:rsidRPr="00510AD0">
          <w:rPr>
            <w:noProof/>
          </w:rPr>
          <w:fldChar w:fldCharType="begin"/>
        </w:r>
        <w:r w:rsidR="00E245DD" w:rsidRPr="00510AD0">
          <w:rPr>
            <w:noProof/>
          </w:rPr>
          <w:instrText xml:space="preserve"> PAGEREF _Toc99035863 \h </w:instrText>
        </w:r>
        <w:r w:rsidR="00E245DD" w:rsidRPr="00510AD0">
          <w:rPr>
            <w:noProof/>
          </w:rPr>
        </w:r>
        <w:r w:rsidR="00E245DD" w:rsidRPr="00510AD0">
          <w:rPr>
            <w:noProof/>
          </w:rPr>
          <w:fldChar w:fldCharType="separate"/>
        </w:r>
        <w:r w:rsidR="0077573F" w:rsidRPr="00510AD0">
          <w:rPr>
            <w:noProof/>
          </w:rPr>
          <w:t>19</w:t>
        </w:r>
        <w:r w:rsidR="00E245DD" w:rsidRPr="00510AD0">
          <w:rPr>
            <w:noProof/>
          </w:rPr>
          <w:fldChar w:fldCharType="end"/>
        </w:r>
      </w:hyperlink>
    </w:p>
    <w:p w14:paraId="59E732C9" w14:textId="561733BE" w:rsidR="00E245DD" w:rsidRPr="00510AD0" w:rsidRDefault="00A1254C" w:rsidP="005E6C80">
      <w:pPr>
        <w:pStyle w:val="TOC2"/>
        <w:rPr>
          <w:rFonts w:eastAsiaTheme="minorEastAsia"/>
          <w:noProof/>
          <w:sz w:val="22"/>
          <w:szCs w:val="22"/>
        </w:rPr>
      </w:pPr>
      <w:hyperlink w:anchor="_Toc99035864" w:history="1">
        <w:r w:rsidR="00E245DD" w:rsidRPr="00510AD0">
          <w:rPr>
            <w:rStyle w:val="Hyperlink"/>
            <w:noProof/>
            <w:specVanish/>
          </w:rPr>
          <w:t>10.5</w:t>
        </w:r>
        <w:r w:rsidR="00E245DD" w:rsidRPr="00510AD0">
          <w:rPr>
            <w:rFonts w:eastAsiaTheme="minorEastAsia"/>
            <w:noProof/>
            <w:sz w:val="22"/>
            <w:szCs w:val="22"/>
          </w:rPr>
          <w:tab/>
        </w:r>
        <w:r w:rsidR="00E245DD" w:rsidRPr="00510AD0">
          <w:rPr>
            <w:rStyle w:val="Hyperlink"/>
            <w:noProof/>
          </w:rPr>
          <w:t>Letter of Credit</w:t>
        </w:r>
        <w:r w:rsidR="00E245DD" w:rsidRPr="00510AD0">
          <w:rPr>
            <w:noProof/>
          </w:rPr>
          <w:tab/>
        </w:r>
        <w:r w:rsidR="00E245DD" w:rsidRPr="00510AD0">
          <w:rPr>
            <w:noProof/>
          </w:rPr>
          <w:fldChar w:fldCharType="begin"/>
        </w:r>
        <w:r w:rsidR="00E245DD" w:rsidRPr="00510AD0">
          <w:rPr>
            <w:noProof/>
          </w:rPr>
          <w:instrText xml:space="preserve"> PAGEREF _Toc99035864 \h </w:instrText>
        </w:r>
        <w:r w:rsidR="00E245DD" w:rsidRPr="00510AD0">
          <w:rPr>
            <w:noProof/>
          </w:rPr>
        </w:r>
        <w:r w:rsidR="00E245DD" w:rsidRPr="00510AD0">
          <w:rPr>
            <w:noProof/>
          </w:rPr>
          <w:fldChar w:fldCharType="separate"/>
        </w:r>
        <w:r w:rsidR="0077573F" w:rsidRPr="00510AD0">
          <w:rPr>
            <w:noProof/>
          </w:rPr>
          <w:t>21</w:t>
        </w:r>
        <w:r w:rsidR="00E245DD" w:rsidRPr="00510AD0">
          <w:rPr>
            <w:noProof/>
          </w:rPr>
          <w:fldChar w:fldCharType="end"/>
        </w:r>
      </w:hyperlink>
    </w:p>
    <w:p w14:paraId="159432E5" w14:textId="31FE5A1C" w:rsidR="00E245DD" w:rsidRPr="00510AD0" w:rsidRDefault="00A1254C" w:rsidP="005E6C80">
      <w:pPr>
        <w:pStyle w:val="TOC2"/>
        <w:rPr>
          <w:rFonts w:eastAsiaTheme="minorEastAsia"/>
          <w:noProof/>
          <w:sz w:val="22"/>
          <w:szCs w:val="22"/>
        </w:rPr>
      </w:pPr>
      <w:hyperlink w:anchor="_Toc99035865" w:history="1">
        <w:r w:rsidR="00E245DD" w:rsidRPr="00510AD0">
          <w:rPr>
            <w:rStyle w:val="Hyperlink"/>
            <w:noProof/>
            <w:specVanish/>
          </w:rPr>
          <w:t>10.6</w:t>
        </w:r>
        <w:r w:rsidR="00E245DD" w:rsidRPr="00510AD0">
          <w:rPr>
            <w:rFonts w:eastAsiaTheme="minorEastAsia"/>
            <w:noProof/>
            <w:sz w:val="22"/>
            <w:szCs w:val="22"/>
          </w:rPr>
          <w:tab/>
        </w:r>
        <w:r w:rsidR="00E245DD" w:rsidRPr="00510AD0">
          <w:rPr>
            <w:rStyle w:val="Hyperlink"/>
            <w:noProof/>
          </w:rPr>
          <w:t>Guaranty</w:t>
        </w:r>
        <w:r w:rsidR="00E245DD" w:rsidRPr="00510AD0">
          <w:rPr>
            <w:noProof/>
          </w:rPr>
          <w:tab/>
        </w:r>
        <w:r w:rsidR="00E245DD" w:rsidRPr="00510AD0">
          <w:rPr>
            <w:noProof/>
          </w:rPr>
          <w:fldChar w:fldCharType="begin"/>
        </w:r>
        <w:r w:rsidR="00E245DD" w:rsidRPr="00510AD0">
          <w:rPr>
            <w:noProof/>
          </w:rPr>
          <w:instrText xml:space="preserve"> PAGEREF _Toc99035865 \h </w:instrText>
        </w:r>
        <w:r w:rsidR="00E245DD" w:rsidRPr="00510AD0">
          <w:rPr>
            <w:noProof/>
          </w:rPr>
        </w:r>
        <w:r w:rsidR="00E245DD" w:rsidRPr="00510AD0">
          <w:rPr>
            <w:noProof/>
          </w:rPr>
          <w:fldChar w:fldCharType="separate"/>
        </w:r>
        <w:r w:rsidR="0077573F" w:rsidRPr="00510AD0">
          <w:rPr>
            <w:noProof/>
          </w:rPr>
          <w:t>23</w:t>
        </w:r>
        <w:r w:rsidR="00E245DD" w:rsidRPr="00510AD0">
          <w:rPr>
            <w:noProof/>
          </w:rPr>
          <w:fldChar w:fldCharType="end"/>
        </w:r>
      </w:hyperlink>
    </w:p>
    <w:p w14:paraId="717147EA" w14:textId="004B2755" w:rsidR="00E245DD" w:rsidRPr="00510AD0" w:rsidRDefault="00A1254C" w:rsidP="005E6C80">
      <w:pPr>
        <w:pStyle w:val="TOC1"/>
        <w:rPr>
          <w:rFonts w:eastAsiaTheme="minorEastAsia"/>
          <w:noProof/>
          <w:sz w:val="22"/>
          <w:szCs w:val="22"/>
        </w:rPr>
      </w:pPr>
      <w:hyperlink w:anchor="_Toc99035866" w:history="1">
        <w:r w:rsidR="00E245DD" w:rsidRPr="00510AD0">
          <w:rPr>
            <w:rStyle w:val="Hyperlink"/>
            <w:noProof/>
          </w:rPr>
          <w:t>Article Eleven</w:t>
        </w:r>
        <w:r w:rsidR="005E6C80" w:rsidRPr="00510AD0">
          <w:rPr>
            <w:rStyle w:val="Hyperlink"/>
            <w:noProof/>
          </w:rPr>
          <w:t xml:space="preserve"> </w:t>
        </w:r>
        <w:r w:rsidR="00E245DD" w:rsidRPr="00510AD0">
          <w:rPr>
            <w:rStyle w:val="Hyperlink"/>
            <w:noProof/>
          </w:rPr>
          <w:t>SAFETY</w:t>
        </w:r>
        <w:r w:rsidR="00E245DD" w:rsidRPr="00510AD0">
          <w:rPr>
            <w:noProof/>
          </w:rPr>
          <w:tab/>
        </w:r>
        <w:r w:rsidR="00E245DD" w:rsidRPr="00510AD0">
          <w:rPr>
            <w:noProof/>
          </w:rPr>
          <w:fldChar w:fldCharType="begin"/>
        </w:r>
        <w:r w:rsidR="00E245DD" w:rsidRPr="00510AD0">
          <w:rPr>
            <w:noProof/>
          </w:rPr>
          <w:instrText xml:space="preserve"> PAGEREF _Toc99035866 \h </w:instrText>
        </w:r>
        <w:r w:rsidR="00E245DD" w:rsidRPr="00510AD0">
          <w:rPr>
            <w:noProof/>
          </w:rPr>
        </w:r>
        <w:r w:rsidR="00E245DD" w:rsidRPr="00510AD0">
          <w:rPr>
            <w:noProof/>
          </w:rPr>
          <w:fldChar w:fldCharType="separate"/>
        </w:r>
        <w:r w:rsidR="0077573F" w:rsidRPr="00510AD0">
          <w:rPr>
            <w:noProof/>
          </w:rPr>
          <w:t>23</w:t>
        </w:r>
        <w:r w:rsidR="00E245DD" w:rsidRPr="00510AD0">
          <w:rPr>
            <w:noProof/>
          </w:rPr>
          <w:fldChar w:fldCharType="end"/>
        </w:r>
      </w:hyperlink>
    </w:p>
    <w:p w14:paraId="21E0DC36" w14:textId="4B3985EC" w:rsidR="00E245DD" w:rsidRPr="00510AD0" w:rsidRDefault="00A1254C" w:rsidP="005E6C80">
      <w:pPr>
        <w:pStyle w:val="TOC2"/>
        <w:rPr>
          <w:rFonts w:eastAsiaTheme="minorEastAsia"/>
          <w:noProof/>
          <w:sz w:val="22"/>
          <w:szCs w:val="22"/>
        </w:rPr>
      </w:pPr>
      <w:hyperlink w:anchor="_Toc99035867" w:history="1">
        <w:r w:rsidR="00E245DD" w:rsidRPr="00510AD0">
          <w:rPr>
            <w:rStyle w:val="Hyperlink"/>
            <w:noProof/>
            <w:specVanish/>
          </w:rPr>
          <w:t>11.1</w:t>
        </w:r>
        <w:r w:rsidR="00E245DD" w:rsidRPr="00510AD0">
          <w:rPr>
            <w:rFonts w:eastAsiaTheme="minorEastAsia"/>
            <w:noProof/>
            <w:sz w:val="22"/>
            <w:szCs w:val="22"/>
          </w:rPr>
          <w:tab/>
        </w:r>
        <w:r w:rsidR="00E245DD" w:rsidRPr="00510AD0">
          <w:rPr>
            <w:rStyle w:val="Hyperlink"/>
            <w:noProof/>
          </w:rPr>
          <w:t>Safety.</w:t>
        </w:r>
        <w:r w:rsidR="00E245DD" w:rsidRPr="00510AD0">
          <w:rPr>
            <w:noProof/>
          </w:rPr>
          <w:tab/>
        </w:r>
        <w:r w:rsidR="00E245DD" w:rsidRPr="00510AD0">
          <w:rPr>
            <w:noProof/>
          </w:rPr>
          <w:fldChar w:fldCharType="begin"/>
        </w:r>
        <w:r w:rsidR="00E245DD" w:rsidRPr="00510AD0">
          <w:rPr>
            <w:noProof/>
          </w:rPr>
          <w:instrText xml:space="preserve"> PAGEREF _Toc99035867 \h </w:instrText>
        </w:r>
        <w:r w:rsidR="00E245DD" w:rsidRPr="00510AD0">
          <w:rPr>
            <w:noProof/>
          </w:rPr>
        </w:r>
        <w:r w:rsidR="00E245DD" w:rsidRPr="00510AD0">
          <w:rPr>
            <w:noProof/>
          </w:rPr>
          <w:fldChar w:fldCharType="separate"/>
        </w:r>
        <w:r w:rsidR="0077573F" w:rsidRPr="00510AD0">
          <w:rPr>
            <w:noProof/>
          </w:rPr>
          <w:t>23</w:t>
        </w:r>
        <w:r w:rsidR="00E245DD" w:rsidRPr="00510AD0">
          <w:rPr>
            <w:noProof/>
          </w:rPr>
          <w:fldChar w:fldCharType="end"/>
        </w:r>
      </w:hyperlink>
    </w:p>
    <w:p w14:paraId="4A6CD55D" w14:textId="110A0F69" w:rsidR="00E245DD" w:rsidRPr="00510AD0" w:rsidRDefault="00A1254C" w:rsidP="005E6C80">
      <w:pPr>
        <w:pStyle w:val="TOC1"/>
        <w:rPr>
          <w:rFonts w:eastAsiaTheme="minorEastAsia"/>
          <w:noProof/>
          <w:sz w:val="22"/>
          <w:szCs w:val="22"/>
        </w:rPr>
      </w:pPr>
      <w:hyperlink w:anchor="_Toc99035868" w:history="1">
        <w:r w:rsidR="00E245DD" w:rsidRPr="00510AD0">
          <w:rPr>
            <w:rStyle w:val="Hyperlink"/>
            <w:noProof/>
          </w:rPr>
          <w:t>Article Twelve</w:t>
        </w:r>
        <w:r w:rsidR="005E6C80" w:rsidRPr="00510AD0">
          <w:rPr>
            <w:rStyle w:val="Hyperlink"/>
            <w:noProof/>
          </w:rPr>
          <w:t xml:space="preserve"> </w:t>
        </w:r>
        <w:r w:rsidR="00E245DD" w:rsidRPr="00510AD0">
          <w:rPr>
            <w:rStyle w:val="Hyperlink"/>
            <w:noProof/>
          </w:rPr>
          <w:t>GOVERNMENTAL CHARGES</w:t>
        </w:r>
        <w:r w:rsidR="00E245DD" w:rsidRPr="00510AD0">
          <w:rPr>
            <w:noProof/>
          </w:rPr>
          <w:tab/>
        </w:r>
        <w:r w:rsidR="00E245DD" w:rsidRPr="00510AD0">
          <w:rPr>
            <w:noProof/>
          </w:rPr>
          <w:fldChar w:fldCharType="begin"/>
        </w:r>
        <w:r w:rsidR="00E245DD" w:rsidRPr="00510AD0">
          <w:rPr>
            <w:noProof/>
          </w:rPr>
          <w:instrText xml:space="preserve"> PAGEREF _Toc99035868 \h </w:instrText>
        </w:r>
        <w:r w:rsidR="00E245DD" w:rsidRPr="00510AD0">
          <w:rPr>
            <w:noProof/>
          </w:rPr>
        </w:r>
        <w:r w:rsidR="00E245DD" w:rsidRPr="00510AD0">
          <w:rPr>
            <w:noProof/>
          </w:rPr>
          <w:fldChar w:fldCharType="separate"/>
        </w:r>
        <w:r w:rsidR="0077573F" w:rsidRPr="00510AD0">
          <w:rPr>
            <w:noProof/>
          </w:rPr>
          <w:t>23</w:t>
        </w:r>
        <w:r w:rsidR="00E245DD" w:rsidRPr="00510AD0">
          <w:rPr>
            <w:noProof/>
          </w:rPr>
          <w:fldChar w:fldCharType="end"/>
        </w:r>
      </w:hyperlink>
    </w:p>
    <w:p w14:paraId="4C423124" w14:textId="11CA89BD" w:rsidR="00E245DD" w:rsidRPr="00510AD0" w:rsidRDefault="00A1254C" w:rsidP="005E6C80">
      <w:pPr>
        <w:pStyle w:val="TOC2"/>
        <w:rPr>
          <w:rFonts w:eastAsiaTheme="minorEastAsia"/>
          <w:noProof/>
          <w:sz w:val="22"/>
          <w:szCs w:val="22"/>
        </w:rPr>
      </w:pPr>
      <w:hyperlink w:anchor="_Toc99035869" w:history="1">
        <w:r w:rsidR="00E245DD" w:rsidRPr="00510AD0">
          <w:rPr>
            <w:rStyle w:val="Hyperlink"/>
            <w:noProof/>
            <w:specVanish/>
          </w:rPr>
          <w:t>12.1</w:t>
        </w:r>
        <w:r w:rsidR="00E245DD" w:rsidRPr="00510AD0">
          <w:rPr>
            <w:rFonts w:eastAsiaTheme="minorEastAsia"/>
            <w:noProof/>
            <w:sz w:val="22"/>
            <w:szCs w:val="22"/>
          </w:rPr>
          <w:tab/>
        </w:r>
        <w:r w:rsidR="00E245DD" w:rsidRPr="00510AD0">
          <w:rPr>
            <w:rStyle w:val="Hyperlink"/>
            <w:noProof/>
          </w:rPr>
          <w:t>Cooperation</w:t>
        </w:r>
        <w:r w:rsidR="00E245DD" w:rsidRPr="00510AD0">
          <w:rPr>
            <w:noProof/>
          </w:rPr>
          <w:tab/>
        </w:r>
        <w:r w:rsidR="00E245DD" w:rsidRPr="00510AD0">
          <w:rPr>
            <w:noProof/>
          </w:rPr>
          <w:fldChar w:fldCharType="begin"/>
        </w:r>
        <w:r w:rsidR="00E245DD" w:rsidRPr="00510AD0">
          <w:rPr>
            <w:noProof/>
          </w:rPr>
          <w:instrText xml:space="preserve"> PAGEREF _Toc99035869 \h </w:instrText>
        </w:r>
        <w:r w:rsidR="00E245DD" w:rsidRPr="00510AD0">
          <w:rPr>
            <w:noProof/>
          </w:rPr>
        </w:r>
        <w:r w:rsidR="00E245DD" w:rsidRPr="00510AD0">
          <w:rPr>
            <w:noProof/>
          </w:rPr>
          <w:fldChar w:fldCharType="separate"/>
        </w:r>
        <w:r w:rsidR="0077573F" w:rsidRPr="00510AD0">
          <w:rPr>
            <w:noProof/>
          </w:rPr>
          <w:t>23</w:t>
        </w:r>
        <w:r w:rsidR="00E245DD" w:rsidRPr="00510AD0">
          <w:rPr>
            <w:noProof/>
          </w:rPr>
          <w:fldChar w:fldCharType="end"/>
        </w:r>
      </w:hyperlink>
    </w:p>
    <w:p w14:paraId="2264228C" w14:textId="759F5462" w:rsidR="00E245DD" w:rsidRPr="00510AD0" w:rsidRDefault="00A1254C" w:rsidP="005E6C80">
      <w:pPr>
        <w:pStyle w:val="TOC2"/>
        <w:rPr>
          <w:rFonts w:eastAsiaTheme="minorEastAsia"/>
          <w:noProof/>
          <w:sz w:val="22"/>
          <w:szCs w:val="22"/>
        </w:rPr>
      </w:pPr>
      <w:hyperlink w:anchor="_Toc99035870" w:history="1">
        <w:r w:rsidR="00E245DD" w:rsidRPr="00510AD0">
          <w:rPr>
            <w:rStyle w:val="Hyperlink"/>
            <w:noProof/>
            <w:specVanish/>
          </w:rPr>
          <w:t>12.2</w:t>
        </w:r>
        <w:r w:rsidR="00E245DD" w:rsidRPr="00510AD0">
          <w:rPr>
            <w:rFonts w:eastAsiaTheme="minorEastAsia"/>
            <w:noProof/>
            <w:sz w:val="22"/>
            <w:szCs w:val="22"/>
          </w:rPr>
          <w:tab/>
        </w:r>
        <w:r w:rsidR="00E245DD" w:rsidRPr="00510AD0">
          <w:rPr>
            <w:rStyle w:val="Hyperlink"/>
            <w:noProof/>
          </w:rPr>
          <w:t>Governmental Charges</w:t>
        </w:r>
        <w:r w:rsidR="00E245DD" w:rsidRPr="00510AD0">
          <w:rPr>
            <w:noProof/>
          </w:rPr>
          <w:tab/>
        </w:r>
        <w:r w:rsidR="00E245DD" w:rsidRPr="00510AD0">
          <w:rPr>
            <w:noProof/>
          </w:rPr>
          <w:fldChar w:fldCharType="begin"/>
        </w:r>
        <w:r w:rsidR="00E245DD" w:rsidRPr="00510AD0">
          <w:rPr>
            <w:noProof/>
          </w:rPr>
          <w:instrText xml:space="preserve"> PAGEREF _Toc99035870 \h </w:instrText>
        </w:r>
        <w:r w:rsidR="00E245DD" w:rsidRPr="00510AD0">
          <w:rPr>
            <w:noProof/>
          </w:rPr>
        </w:r>
        <w:r w:rsidR="00E245DD" w:rsidRPr="00510AD0">
          <w:rPr>
            <w:noProof/>
          </w:rPr>
          <w:fldChar w:fldCharType="separate"/>
        </w:r>
        <w:r w:rsidR="0077573F" w:rsidRPr="00510AD0">
          <w:rPr>
            <w:noProof/>
          </w:rPr>
          <w:t>23</w:t>
        </w:r>
        <w:r w:rsidR="00E245DD" w:rsidRPr="00510AD0">
          <w:rPr>
            <w:noProof/>
          </w:rPr>
          <w:fldChar w:fldCharType="end"/>
        </w:r>
      </w:hyperlink>
    </w:p>
    <w:p w14:paraId="768E20FC" w14:textId="41F02C8A" w:rsidR="00E245DD" w:rsidRPr="00510AD0" w:rsidRDefault="00A1254C" w:rsidP="005E6C80">
      <w:pPr>
        <w:pStyle w:val="TOC1"/>
        <w:rPr>
          <w:rFonts w:eastAsiaTheme="minorEastAsia"/>
          <w:noProof/>
          <w:sz w:val="22"/>
          <w:szCs w:val="22"/>
        </w:rPr>
      </w:pPr>
      <w:hyperlink w:anchor="_Toc99035871" w:history="1">
        <w:r w:rsidR="00E245DD" w:rsidRPr="00510AD0">
          <w:rPr>
            <w:rStyle w:val="Hyperlink"/>
            <w:noProof/>
          </w:rPr>
          <w:t>Article Thirteen</w:t>
        </w:r>
        <w:r w:rsidR="005E6C80" w:rsidRPr="00510AD0">
          <w:rPr>
            <w:rStyle w:val="Hyperlink"/>
            <w:noProof/>
          </w:rPr>
          <w:t xml:space="preserve"> </w:t>
        </w:r>
        <w:r w:rsidR="00E245DD" w:rsidRPr="00510AD0">
          <w:rPr>
            <w:rStyle w:val="Hyperlink"/>
            <w:noProof/>
          </w:rPr>
          <w:t>LIMITATIONS</w:t>
        </w:r>
        <w:r w:rsidR="00E245DD" w:rsidRPr="00510AD0">
          <w:rPr>
            <w:noProof/>
          </w:rPr>
          <w:tab/>
        </w:r>
        <w:r w:rsidR="00E245DD" w:rsidRPr="00510AD0">
          <w:rPr>
            <w:noProof/>
          </w:rPr>
          <w:fldChar w:fldCharType="begin"/>
        </w:r>
        <w:r w:rsidR="00E245DD" w:rsidRPr="00510AD0">
          <w:rPr>
            <w:noProof/>
          </w:rPr>
          <w:instrText xml:space="preserve"> PAGEREF _Toc99035871 \h </w:instrText>
        </w:r>
        <w:r w:rsidR="00E245DD" w:rsidRPr="00510AD0">
          <w:rPr>
            <w:noProof/>
          </w:rPr>
        </w:r>
        <w:r w:rsidR="00E245DD" w:rsidRPr="00510AD0">
          <w:rPr>
            <w:noProof/>
          </w:rPr>
          <w:fldChar w:fldCharType="separate"/>
        </w:r>
        <w:r w:rsidR="0077573F" w:rsidRPr="00510AD0">
          <w:rPr>
            <w:noProof/>
          </w:rPr>
          <w:t>24</w:t>
        </w:r>
        <w:r w:rsidR="00E245DD" w:rsidRPr="00510AD0">
          <w:rPr>
            <w:noProof/>
          </w:rPr>
          <w:fldChar w:fldCharType="end"/>
        </w:r>
      </w:hyperlink>
    </w:p>
    <w:p w14:paraId="4594525E" w14:textId="5A8334BD" w:rsidR="00E245DD" w:rsidRPr="00510AD0" w:rsidRDefault="00A1254C" w:rsidP="005E6C80">
      <w:pPr>
        <w:pStyle w:val="TOC2"/>
        <w:rPr>
          <w:rFonts w:eastAsiaTheme="minorEastAsia"/>
          <w:noProof/>
          <w:sz w:val="22"/>
          <w:szCs w:val="22"/>
        </w:rPr>
      </w:pPr>
      <w:hyperlink w:anchor="_Toc99035872" w:history="1">
        <w:r w:rsidR="00E245DD" w:rsidRPr="00510AD0">
          <w:rPr>
            <w:rStyle w:val="Hyperlink"/>
            <w:noProof/>
            <w:specVanish/>
          </w:rPr>
          <w:t>13.1</w:t>
        </w:r>
        <w:r w:rsidR="00E245DD" w:rsidRPr="00510AD0">
          <w:rPr>
            <w:rFonts w:eastAsiaTheme="minorEastAsia"/>
            <w:noProof/>
            <w:sz w:val="22"/>
            <w:szCs w:val="22"/>
          </w:rPr>
          <w:tab/>
        </w:r>
        <w:r w:rsidR="00E245DD" w:rsidRPr="00510AD0">
          <w:rPr>
            <w:rStyle w:val="Hyperlink"/>
            <w:noProof/>
          </w:rPr>
          <w:t>Limitation of Remedies, Liability and Damages</w:t>
        </w:r>
        <w:r w:rsidR="00E245DD" w:rsidRPr="00510AD0">
          <w:rPr>
            <w:noProof/>
          </w:rPr>
          <w:tab/>
        </w:r>
        <w:r w:rsidR="00E245DD" w:rsidRPr="00510AD0">
          <w:rPr>
            <w:noProof/>
          </w:rPr>
          <w:fldChar w:fldCharType="begin"/>
        </w:r>
        <w:r w:rsidR="00E245DD" w:rsidRPr="00510AD0">
          <w:rPr>
            <w:noProof/>
          </w:rPr>
          <w:instrText xml:space="preserve"> PAGEREF _Toc99035872 \h </w:instrText>
        </w:r>
        <w:r w:rsidR="00E245DD" w:rsidRPr="00510AD0">
          <w:rPr>
            <w:noProof/>
          </w:rPr>
        </w:r>
        <w:r w:rsidR="00E245DD" w:rsidRPr="00510AD0">
          <w:rPr>
            <w:noProof/>
          </w:rPr>
          <w:fldChar w:fldCharType="separate"/>
        </w:r>
        <w:r w:rsidR="0077573F" w:rsidRPr="00510AD0">
          <w:rPr>
            <w:noProof/>
          </w:rPr>
          <w:t>24</w:t>
        </w:r>
        <w:r w:rsidR="00E245DD" w:rsidRPr="00510AD0">
          <w:rPr>
            <w:noProof/>
          </w:rPr>
          <w:fldChar w:fldCharType="end"/>
        </w:r>
      </w:hyperlink>
    </w:p>
    <w:p w14:paraId="6628AC80" w14:textId="6DB1EA45" w:rsidR="00E245DD" w:rsidRPr="00510AD0" w:rsidRDefault="00A1254C" w:rsidP="005E6C80">
      <w:pPr>
        <w:pStyle w:val="TOC1"/>
        <w:rPr>
          <w:rFonts w:eastAsiaTheme="minorEastAsia"/>
          <w:noProof/>
          <w:sz w:val="22"/>
          <w:szCs w:val="22"/>
        </w:rPr>
      </w:pPr>
      <w:hyperlink w:anchor="_Toc99035873" w:history="1">
        <w:r w:rsidR="00E245DD" w:rsidRPr="00510AD0">
          <w:rPr>
            <w:rStyle w:val="Hyperlink"/>
            <w:noProof/>
          </w:rPr>
          <w:t>Article Fourteen</w:t>
        </w:r>
        <w:r w:rsidR="005E6C80" w:rsidRPr="00510AD0">
          <w:rPr>
            <w:rStyle w:val="Hyperlink"/>
            <w:noProof/>
          </w:rPr>
          <w:t xml:space="preserve"> </w:t>
        </w:r>
        <w:r w:rsidR="00E245DD" w:rsidRPr="00510AD0">
          <w:rPr>
            <w:rStyle w:val="Hyperlink"/>
            <w:noProof/>
          </w:rPr>
          <w:t>REPRESENTATIONS; WARRANTIES; COVENANTS</w:t>
        </w:r>
        <w:r w:rsidR="00E245DD" w:rsidRPr="00510AD0">
          <w:rPr>
            <w:noProof/>
          </w:rPr>
          <w:tab/>
        </w:r>
        <w:r w:rsidR="00E245DD" w:rsidRPr="00510AD0">
          <w:rPr>
            <w:noProof/>
          </w:rPr>
          <w:fldChar w:fldCharType="begin"/>
        </w:r>
        <w:r w:rsidR="00E245DD" w:rsidRPr="00510AD0">
          <w:rPr>
            <w:noProof/>
          </w:rPr>
          <w:instrText xml:space="preserve"> PAGEREF _Toc99035873 \h </w:instrText>
        </w:r>
        <w:r w:rsidR="00E245DD" w:rsidRPr="00510AD0">
          <w:rPr>
            <w:noProof/>
          </w:rPr>
        </w:r>
        <w:r w:rsidR="00E245DD" w:rsidRPr="00510AD0">
          <w:rPr>
            <w:noProof/>
          </w:rPr>
          <w:fldChar w:fldCharType="separate"/>
        </w:r>
        <w:r w:rsidR="0077573F" w:rsidRPr="00510AD0">
          <w:rPr>
            <w:noProof/>
          </w:rPr>
          <w:t>24</w:t>
        </w:r>
        <w:r w:rsidR="00E245DD" w:rsidRPr="00510AD0">
          <w:rPr>
            <w:noProof/>
          </w:rPr>
          <w:fldChar w:fldCharType="end"/>
        </w:r>
      </w:hyperlink>
    </w:p>
    <w:p w14:paraId="416E87DC" w14:textId="59E1B323" w:rsidR="00E245DD" w:rsidRPr="00510AD0" w:rsidRDefault="00A1254C" w:rsidP="005E6C80">
      <w:pPr>
        <w:pStyle w:val="TOC2"/>
        <w:rPr>
          <w:rFonts w:eastAsiaTheme="minorEastAsia"/>
          <w:noProof/>
          <w:sz w:val="22"/>
          <w:szCs w:val="22"/>
        </w:rPr>
      </w:pPr>
      <w:hyperlink w:anchor="_Toc99035874" w:history="1">
        <w:r w:rsidR="00E245DD" w:rsidRPr="00510AD0">
          <w:rPr>
            <w:rStyle w:val="Hyperlink"/>
            <w:noProof/>
          </w:rPr>
          <w:t>14.1</w:t>
        </w:r>
        <w:r w:rsidR="00E245DD" w:rsidRPr="00510AD0">
          <w:rPr>
            <w:rFonts w:eastAsiaTheme="minorEastAsia"/>
            <w:noProof/>
            <w:sz w:val="22"/>
            <w:szCs w:val="22"/>
          </w:rPr>
          <w:tab/>
        </w:r>
        <w:r w:rsidR="00E245DD" w:rsidRPr="00510AD0">
          <w:rPr>
            <w:rStyle w:val="Hyperlink"/>
            <w:noProof/>
          </w:rPr>
          <w:t>Representations and Warranties .</w:t>
        </w:r>
        <w:r w:rsidR="00E245DD" w:rsidRPr="00510AD0">
          <w:rPr>
            <w:noProof/>
          </w:rPr>
          <w:tab/>
        </w:r>
        <w:r w:rsidR="00E245DD" w:rsidRPr="00510AD0">
          <w:rPr>
            <w:noProof/>
          </w:rPr>
          <w:fldChar w:fldCharType="begin"/>
        </w:r>
        <w:r w:rsidR="00E245DD" w:rsidRPr="00510AD0">
          <w:rPr>
            <w:noProof/>
          </w:rPr>
          <w:instrText xml:space="preserve"> PAGEREF _Toc99035874 \h </w:instrText>
        </w:r>
        <w:r w:rsidR="00E245DD" w:rsidRPr="00510AD0">
          <w:rPr>
            <w:noProof/>
          </w:rPr>
        </w:r>
        <w:r w:rsidR="00E245DD" w:rsidRPr="00510AD0">
          <w:rPr>
            <w:noProof/>
          </w:rPr>
          <w:fldChar w:fldCharType="separate"/>
        </w:r>
        <w:r w:rsidR="0077573F" w:rsidRPr="00510AD0">
          <w:rPr>
            <w:noProof/>
          </w:rPr>
          <w:t>24</w:t>
        </w:r>
        <w:r w:rsidR="00E245DD" w:rsidRPr="00510AD0">
          <w:rPr>
            <w:noProof/>
          </w:rPr>
          <w:fldChar w:fldCharType="end"/>
        </w:r>
      </w:hyperlink>
    </w:p>
    <w:p w14:paraId="485EE933" w14:textId="50DC57ED" w:rsidR="00E245DD" w:rsidRPr="00510AD0" w:rsidRDefault="00A1254C" w:rsidP="005E6C80">
      <w:pPr>
        <w:pStyle w:val="TOC2"/>
        <w:rPr>
          <w:rFonts w:eastAsiaTheme="minorEastAsia"/>
          <w:noProof/>
          <w:sz w:val="22"/>
          <w:szCs w:val="22"/>
        </w:rPr>
      </w:pPr>
      <w:hyperlink w:anchor="_Toc99035875" w:history="1">
        <w:r w:rsidR="00E245DD" w:rsidRPr="00510AD0">
          <w:rPr>
            <w:rStyle w:val="Hyperlink"/>
            <w:noProof/>
            <w:specVanish/>
          </w:rPr>
          <w:t>14.2</w:t>
        </w:r>
        <w:r w:rsidR="00E245DD" w:rsidRPr="00510AD0">
          <w:rPr>
            <w:rFonts w:eastAsiaTheme="minorEastAsia"/>
            <w:noProof/>
            <w:sz w:val="22"/>
            <w:szCs w:val="22"/>
          </w:rPr>
          <w:tab/>
        </w:r>
        <w:r w:rsidR="00E245DD" w:rsidRPr="00510AD0">
          <w:rPr>
            <w:rStyle w:val="Hyperlink"/>
            <w:noProof/>
          </w:rPr>
          <w:t>General Covenants</w:t>
        </w:r>
        <w:r w:rsidR="00E245DD" w:rsidRPr="00510AD0">
          <w:rPr>
            <w:noProof/>
          </w:rPr>
          <w:tab/>
        </w:r>
        <w:r w:rsidR="00E245DD" w:rsidRPr="00510AD0">
          <w:rPr>
            <w:noProof/>
          </w:rPr>
          <w:fldChar w:fldCharType="begin"/>
        </w:r>
        <w:r w:rsidR="00E245DD" w:rsidRPr="00510AD0">
          <w:rPr>
            <w:noProof/>
          </w:rPr>
          <w:instrText xml:space="preserve"> PAGEREF _Toc99035875 \h </w:instrText>
        </w:r>
        <w:r w:rsidR="00E245DD" w:rsidRPr="00510AD0">
          <w:rPr>
            <w:noProof/>
          </w:rPr>
        </w:r>
        <w:r w:rsidR="00E245DD" w:rsidRPr="00510AD0">
          <w:rPr>
            <w:noProof/>
          </w:rPr>
          <w:fldChar w:fldCharType="separate"/>
        </w:r>
        <w:r w:rsidR="0077573F" w:rsidRPr="00510AD0">
          <w:rPr>
            <w:noProof/>
          </w:rPr>
          <w:t>26</w:t>
        </w:r>
        <w:r w:rsidR="00E245DD" w:rsidRPr="00510AD0">
          <w:rPr>
            <w:noProof/>
          </w:rPr>
          <w:fldChar w:fldCharType="end"/>
        </w:r>
      </w:hyperlink>
    </w:p>
    <w:p w14:paraId="7C25210A" w14:textId="252BC515" w:rsidR="00E245DD" w:rsidRPr="00510AD0" w:rsidRDefault="00A1254C" w:rsidP="005E6C80">
      <w:pPr>
        <w:pStyle w:val="TOC2"/>
        <w:rPr>
          <w:rFonts w:eastAsiaTheme="minorEastAsia"/>
          <w:noProof/>
          <w:sz w:val="22"/>
          <w:szCs w:val="22"/>
        </w:rPr>
      </w:pPr>
      <w:hyperlink w:anchor="_Toc99035876" w:history="1">
        <w:r w:rsidR="00E245DD" w:rsidRPr="00510AD0">
          <w:rPr>
            <w:rStyle w:val="Hyperlink"/>
            <w:noProof/>
            <w:specVanish/>
          </w:rPr>
          <w:t>14.3</w:t>
        </w:r>
        <w:r w:rsidR="00E245DD" w:rsidRPr="00510AD0">
          <w:rPr>
            <w:rFonts w:eastAsiaTheme="minorEastAsia"/>
            <w:noProof/>
            <w:sz w:val="22"/>
            <w:szCs w:val="22"/>
          </w:rPr>
          <w:tab/>
        </w:r>
        <w:r w:rsidR="00E245DD" w:rsidRPr="00510AD0">
          <w:rPr>
            <w:rStyle w:val="Hyperlink"/>
            <w:noProof/>
          </w:rPr>
          <w:t>Covenants of Seller</w:t>
        </w:r>
        <w:r w:rsidR="00E245DD" w:rsidRPr="00510AD0">
          <w:rPr>
            <w:noProof/>
          </w:rPr>
          <w:tab/>
        </w:r>
        <w:r w:rsidR="00E245DD" w:rsidRPr="00510AD0">
          <w:rPr>
            <w:noProof/>
          </w:rPr>
          <w:fldChar w:fldCharType="begin"/>
        </w:r>
        <w:r w:rsidR="00E245DD" w:rsidRPr="00510AD0">
          <w:rPr>
            <w:noProof/>
          </w:rPr>
          <w:instrText xml:space="preserve"> PAGEREF _Toc99035876 \h </w:instrText>
        </w:r>
        <w:r w:rsidR="00E245DD" w:rsidRPr="00510AD0">
          <w:rPr>
            <w:noProof/>
          </w:rPr>
        </w:r>
        <w:r w:rsidR="00E245DD" w:rsidRPr="00510AD0">
          <w:rPr>
            <w:noProof/>
          </w:rPr>
          <w:fldChar w:fldCharType="separate"/>
        </w:r>
        <w:r w:rsidR="0077573F" w:rsidRPr="00510AD0">
          <w:rPr>
            <w:noProof/>
          </w:rPr>
          <w:t>27</w:t>
        </w:r>
        <w:r w:rsidR="00E245DD" w:rsidRPr="00510AD0">
          <w:rPr>
            <w:noProof/>
          </w:rPr>
          <w:fldChar w:fldCharType="end"/>
        </w:r>
      </w:hyperlink>
    </w:p>
    <w:p w14:paraId="377182D5" w14:textId="05D3A3F1" w:rsidR="00E245DD" w:rsidRPr="00510AD0" w:rsidRDefault="00A1254C" w:rsidP="005E6C80">
      <w:pPr>
        <w:pStyle w:val="TOC2"/>
        <w:rPr>
          <w:rFonts w:eastAsiaTheme="minorEastAsia"/>
          <w:noProof/>
          <w:sz w:val="22"/>
          <w:szCs w:val="22"/>
        </w:rPr>
      </w:pPr>
      <w:hyperlink w:anchor="_Toc99035877" w:history="1">
        <w:r w:rsidR="00E245DD" w:rsidRPr="00510AD0">
          <w:rPr>
            <w:rStyle w:val="Hyperlink"/>
            <w:noProof/>
            <w:specVanish/>
          </w:rPr>
          <w:t>14.4</w:t>
        </w:r>
        <w:r w:rsidR="00E245DD" w:rsidRPr="00510AD0">
          <w:rPr>
            <w:rFonts w:eastAsiaTheme="minorEastAsia"/>
            <w:noProof/>
            <w:sz w:val="22"/>
            <w:szCs w:val="22"/>
          </w:rPr>
          <w:tab/>
        </w:r>
        <w:r w:rsidR="00E245DD" w:rsidRPr="00510AD0">
          <w:rPr>
            <w:rStyle w:val="Hyperlink"/>
            <w:noProof/>
          </w:rPr>
          <w:t>Limitation on Seller Covenants</w:t>
        </w:r>
        <w:r w:rsidR="00E245DD" w:rsidRPr="00510AD0">
          <w:rPr>
            <w:noProof/>
          </w:rPr>
          <w:tab/>
        </w:r>
        <w:r w:rsidR="00E245DD" w:rsidRPr="00510AD0">
          <w:rPr>
            <w:noProof/>
          </w:rPr>
          <w:fldChar w:fldCharType="begin"/>
        </w:r>
        <w:r w:rsidR="00E245DD" w:rsidRPr="00510AD0">
          <w:rPr>
            <w:noProof/>
          </w:rPr>
          <w:instrText xml:space="preserve"> PAGEREF _Toc99035877 \h </w:instrText>
        </w:r>
        <w:r w:rsidR="00E245DD" w:rsidRPr="00510AD0">
          <w:rPr>
            <w:noProof/>
          </w:rPr>
        </w:r>
        <w:r w:rsidR="00E245DD" w:rsidRPr="00510AD0">
          <w:rPr>
            <w:noProof/>
          </w:rPr>
          <w:fldChar w:fldCharType="separate"/>
        </w:r>
        <w:r w:rsidR="0077573F" w:rsidRPr="00510AD0">
          <w:rPr>
            <w:noProof/>
          </w:rPr>
          <w:t>28</w:t>
        </w:r>
        <w:r w:rsidR="00E245DD" w:rsidRPr="00510AD0">
          <w:rPr>
            <w:noProof/>
          </w:rPr>
          <w:fldChar w:fldCharType="end"/>
        </w:r>
      </w:hyperlink>
    </w:p>
    <w:p w14:paraId="18B4E525" w14:textId="235D29B6" w:rsidR="00E245DD" w:rsidRPr="00510AD0" w:rsidRDefault="00A1254C" w:rsidP="005E6C80">
      <w:pPr>
        <w:pStyle w:val="TOC1"/>
        <w:rPr>
          <w:rFonts w:eastAsiaTheme="minorEastAsia"/>
          <w:noProof/>
          <w:sz w:val="22"/>
          <w:szCs w:val="22"/>
        </w:rPr>
      </w:pPr>
      <w:hyperlink w:anchor="_Toc99035878" w:history="1">
        <w:r w:rsidR="00E245DD" w:rsidRPr="00510AD0">
          <w:rPr>
            <w:rStyle w:val="Hyperlink"/>
            <w:noProof/>
          </w:rPr>
          <w:t>Article Fifteen</w:t>
        </w:r>
        <w:r w:rsidR="005E6C80" w:rsidRPr="00510AD0">
          <w:rPr>
            <w:rStyle w:val="Hyperlink"/>
            <w:noProof/>
          </w:rPr>
          <w:t xml:space="preserve"> </w:t>
        </w:r>
        <w:r w:rsidR="00E245DD" w:rsidRPr="00510AD0">
          <w:rPr>
            <w:rStyle w:val="Hyperlink"/>
            <w:noProof/>
          </w:rPr>
          <w:t>INDEMNITIES AND INSURANCE</w:t>
        </w:r>
        <w:r w:rsidR="00E245DD" w:rsidRPr="00510AD0">
          <w:rPr>
            <w:noProof/>
          </w:rPr>
          <w:tab/>
        </w:r>
        <w:r w:rsidR="00E245DD" w:rsidRPr="00510AD0">
          <w:rPr>
            <w:noProof/>
          </w:rPr>
          <w:fldChar w:fldCharType="begin"/>
        </w:r>
        <w:r w:rsidR="00E245DD" w:rsidRPr="00510AD0">
          <w:rPr>
            <w:noProof/>
          </w:rPr>
          <w:instrText xml:space="preserve"> PAGEREF _Toc99035878 \h </w:instrText>
        </w:r>
        <w:r w:rsidR="00E245DD" w:rsidRPr="00510AD0">
          <w:rPr>
            <w:noProof/>
          </w:rPr>
        </w:r>
        <w:r w:rsidR="00E245DD" w:rsidRPr="00510AD0">
          <w:rPr>
            <w:noProof/>
          </w:rPr>
          <w:fldChar w:fldCharType="separate"/>
        </w:r>
        <w:r w:rsidR="0077573F" w:rsidRPr="00510AD0">
          <w:rPr>
            <w:noProof/>
          </w:rPr>
          <w:t>28</w:t>
        </w:r>
        <w:r w:rsidR="00E245DD" w:rsidRPr="00510AD0">
          <w:rPr>
            <w:noProof/>
          </w:rPr>
          <w:fldChar w:fldCharType="end"/>
        </w:r>
      </w:hyperlink>
    </w:p>
    <w:p w14:paraId="6EC78605" w14:textId="407106A0" w:rsidR="00E245DD" w:rsidRPr="00510AD0" w:rsidRDefault="00A1254C" w:rsidP="005E6C80">
      <w:pPr>
        <w:pStyle w:val="TOC2"/>
        <w:rPr>
          <w:rFonts w:eastAsiaTheme="minorEastAsia"/>
          <w:noProof/>
          <w:sz w:val="22"/>
          <w:szCs w:val="22"/>
        </w:rPr>
      </w:pPr>
      <w:hyperlink w:anchor="_Toc99035879" w:history="1">
        <w:r w:rsidR="00E245DD" w:rsidRPr="00510AD0">
          <w:rPr>
            <w:rStyle w:val="Hyperlink"/>
            <w:noProof/>
            <w:specVanish/>
          </w:rPr>
          <w:t>15.1</w:t>
        </w:r>
        <w:r w:rsidR="00E245DD" w:rsidRPr="00510AD0">
          <w:rPr>
            <w:rFonts w:eastAsiaTheme="minorEastAsia"/>
            <w:noProof/>
            <w:sz w:val="22"/>
            <w:szCs w:val="22"/>
          </w:rPr>
          <w:tab/>
        </w:r>
        <w:r w:rsidR="00E245DD" w:rsidRPr="00510AD0">
          <w:rPr>
            <w:rStyle w:val="Hyperlink"/>
            <w:noProof/>
          </w:rPr>
          <w:t>Indemnity by Seller</w:t>
        </w:r>
        <w:r w:rsidR="00E245DD" w:rsidRPr="00510AD0">
          <w:rPr>
            <w:noProof/>
          </w:rPr>
          <w:tab/>
        </w:r>
        <w:r w:rsidR="00E245DD" w:rsidRPr="00510AD0">
          <w:rPr>
            <w:noProof/>
          </w:rPr>
          <w:fldChar w:fldCharType="begin"/>
        </w:r>
        <w:r w:rsidR="00E245DD" w:rsidRPr="00510AD0">
          <w:rPr>
            <w:noProof/>
          </w:rPr>
          <w:instrText xml:space="preserve"> PAGEREF _Toc99035879 \h </w:instrText>
        </w:r>
        <w:r w:rsidR="00E245DD" w:rsidRPr="00510AD0">
          <w:rPr>
            <w:noProof/>
          </w:rPr>
        </w:r>
        <w:r w:rsidR="00E245DD" w:rsidRPr="00510AD0">
          <w:rPr>
            <w:noProof/>
          </w:rPr>
          <w:fldChar w:fldCharType="separate"/>
        </w:r>
        <w:r w:rsidR="0077573F" w:rsidRPr="00510AD0">
          <w:rPr>
            <w:noProof/>
          </w:rPr>
          <w:t>28</w:t>
        </w:r>
        <w:r w:rsidR="00E245DD" w:rsidRPr="00510AD0">
          <w:rPr>
            <w:noProof/>
          </w:rPr>
          <w:fldChar w:fldCharType="end"/>
        </w:r>
      </w:hyperlink>
    </w:p>
    <w:p w14:paraId="776D55E4" w14:textId="2344F7C5" w:rsidR="00E245DD" w:rsidRPr="00510AD0" w:rsidRDefault="00A1254C" w:rsidP="005E6C80">
      <w:pPr>
        <w:pStyle w:val="TOC2"/>
        <w:rPr>
          <w:rFonts w:eastAsiaTheme="minorEastAsia"/>
          <w:noProof/>
          <w:sz w:val="22"/>
          <w:szCs w:val="22"/>
        </w:rPr>
      </w:pPr>
      <w:hyperlink w:anchor="_Toc99035880" w:history="1">
        <w:r w:rsidR="00E245DD" w:rsidRPr="00510AD0">
          <w:rPr>
            <w:rStyle w:val="Hyperlink"/>
            <w:noProof/>
            <w:specVanish/>
          </w:rPr>
          <w:t>15.2</w:t>
        </w:r>
        <w:r w:rsidR="00E245DD" w:rsidRPr="00510AD0">
          <w:rPr>
            <w:rFonts w:eastAsiaTheme="minorEastAsia"/>
            <w:noProof/>
            <w:sz w:val="22"/>
            <w:szCs w:val="22"/>
          </w:rPr>
          <w:tab/>
        </w:r>
        <w:r w:rsidR="00E245DD" w:rsidRPr="00510AD0">
          <w:rPr>
            <w:rStyle w:val="Hyperlink"/>
            <w:noProof/>
          </w:rPr>
          <w:t>No Indemnity by Buyer</w:t>
        </w:r>
        <w:r w:rsidR="00E245DD" w:rsidRPr="00510AD0">
          <w:rPr>
            <w:noProof/>
          </w:rPr>
          <w:tab/>
        </w:r>
        <w:r w:rsidR="00E245DD" w:rsidRPr="00510AD0">
          <w:rPr>
            <w:noProof/>
          </w:rPr>
          <w:fldChar w:fldCharType="begin"/>
        </w:r>
        <w:r w:rsidR="00E245DD" w:rsidRPr="00510AD0">
          <w:rPr>
            <w:noProof/>
          </w:rPr>
          <w:instrText xml:space="preserve"> PAGEREF _Toc99035880 \h </w:instrText>
        </w:r>
        <w:r w:rsidR="00E245DD" w:rsidRPr="00510AD0">
          <w:rPr>
            <w:noProof/>
          </w:rPr>
        </w:r>
        <w:r w:rsidR="00E245DD" w:rsidRPr="00510AD0">
          <w:rPr>
            <w:noProof/>
          </w:rPr>
          <w:fldChar w:fldCharType="separate"/>
        </w:r>
        <w:r w:rsidR="0077573F" w:rsidRPr="00510AD0">
          <w:rPr>
            <w:noProof/>
          </w:rPr>
          <w:t>29</w:t>
        </w:r>
        <w:r w:rsidR="00E245DD" w:rsidRPr="00510AD0">
          <w:rPr>
            <w:noProof/>
          </w:rPr>
          <w:fldChar w:fldCharType="end"/>
        </w:r>
      </w:hyperlink>
    </w:p>
    <w:p w14:paraId="3884F135" w14:textId="27E20248" w:rsidR="00E245DD" w:rsidRPr="00510AD0" w:rsidRDefault="00A1254C" w:rsidP="005E6C80">
      <w:pPr>
        <w:pStyle w:val="TOC2"/>
        <w:rPr>
          <w:rFonts w:eastAsiaTheme="minorEastAsia"/>
          <w:noProof/>
          <w:sz w:val="22"/>
          <w:szCs w:val="22"/>
        </w:rPr>
      </w:pPr>
      <w:hyperlink w:anchor="_Toc99035881" w:history="1">
        <w:r w:rsidR="00E245DD" w:rsidRPr="00510AD0">
          <w:rPr>
            <w:rStyle w:val="Hyperlink"/>
            <w:noProof/>
            <w:specVanish/>
          </w:rPr>
          <w:t>15.3</w:t>
        </w:r>
        <w:r w:rsidR="00E245DD" w:rsidRPr="00510AD0">
          <w:rPr>
            <w:rFonts w:eastAsiaTheme="minorEastAsia"/>
            <w:noProof/>
            <w:sz w:val="22"/>
            <w:szCs w:val="22"/>
          </w:rPr>
          <w:tab/>
        </w:r>
        <w:r w:rsidR="00E245DD" w:rsidRPr="00510AD0">
          <w:rPr>
            <w:rStyle w:val="Hyperlink"/>
            <w:noProof/>
          </w:rPr>
          <w:t>Notice of Claim</w:t>
        </w:r>
        <w:r w:rsidR="00E245DD" w:rsidRPr="00510AD0">
          <w:rPr>
            <w:noProof/>
          </w:rPr>
          <w:tab/>
        </w:r>
        <w:r w:rsidR="00E245DD" w:rsidRPr="00510AD0">
          <w:rPr>
            <w:noProof/>
          </w:rPr>
          <w:fldChar w:fldCharType="begin"/>
        </w:r>
        <w:r w:rsidR="00E245DD" w:rsidRPr="00510AD0">
          <w:rPr>
            <w:noProof/>
          </w:rPr>
          <w:instrText xml:space="preserve"> PAGEREF _Toc99035881 \h </w:instrText>
        </w:r>
        <w:r w:rsidR="00E245DD" w:rsidRPr="00510AD0">
          <w:rPr>
            <w:noProof/>
          </w:rPr>
        </w:r>
        <w:r w:rsidR="00E245DD" w:rsidRPr="00510AD0">
          <w:rPr>
            <w:noProof/>
          </w:rPr>
          <w:fldChar w:fldCharType="separate"/>
        </w:r>
        <w:r w:rsidR="0077573F" w:rsidRPr="00510AD0">
          <w:rPr>
            <w:noProof/>
          </w:rPr>
          <w:t>29</w:t>
        </w:r>
        <w:r w:rsidR="00E245DD" w:rsidRPr="00510AD0">
          <w:rPr>
            <w:noProof/>
          </w:rPr>
          <w:fldChar w:fldCharType="end"/>
        </w:r>
      </w:hyperlink>
    </w:p>
    <w:p w14:paraId="5F264EF3" w14:textId="247E4319" w:rsidR="00E245DD" w:rsidRPr="00510AD0" w:rsidRDefault="00A1254C" w:rsidP="005E6C80">
      <w:pPr>
        <w:pStyle w:val="TOC2"/>
        <w:rPr>
          <w:rFonts w:eastAsiaTheme="minorEastAsia"/>
          <w:noProof/>
          <w:sz w:val="22"/>
          <w:szCs w:val="22"/>
        </w:rPr>
      </w:pPr>
      <w:hyperlink w:anchor="_Toc99035882" w:history="1">
        <w:r w:rsidR="00E245DD" w:rsidRPr="00510AD0">
          <w:rPr>
            <w:rStyle w:val="Hyperlink"/>
            <w:noProof/>
            <w:specVanish/>
          </w:rPr>
          <w:t>15.4</w:t>
        </w:r>
        <w:r w:rsidR="00E245DD" w:rsidRPr="00510AD0">
          <w:rPr>
            <w:rFonts w:eastAsiaTheme="minorEastAsia"/>
            <w:noProof/>
            <w:sz w:val="22"/>
            <w:szCs w:val="22"/>
          </w:rPr>
          <w:tab/>
        </w:r>
        <w:r w:rsidR="00E245DD" w:rsidRPr="00510AD0">
          <w:rPr>
            <w:rStyle w:val="Hyperlink"/>
            <w:noProof/>
          </w:rPr>
          <w:t>Defense of Third Party Claims</w:t>
        </w:r>
        <w:r w:rsidR="00E245DD" w:rsidRPr="00510AD0">
          <w:rPr>
            <w:noProof/>
          </w:rPr>
          <w:tab/>
        </w:r>
        <w:r w:rsidR="00E245DD" w:rsidRPr="00510AD0">
          <w:rPr>
            <w:noProof/>
          </w:rPr>
          <w:fldChar w:fldCharType="begin"/>
        </w:r>
        <w:r w:rsidR="00E245DD" w:rsidRPr="00510AD0">
          <w:rPr>
            <w:noProof/>
          </w:rPr>
          <w:instrText xml:space="preserve"> PAGEREF _Toc99035882 \h </w:instrText>
        </w:r>
        <w:r w:rsidR="00E245DD" w:rsidRPr="00510AD0">
          <w:rPr>
            <w:noProof/>
          </w:rPr>
        </w:r>
        <w:r w:rsidR="00E245DD" w:rsidRPr="00510AD0">
          <w:rPr>
            <w:noProof/>
          </w:rPr>
          <w:fldChar w:fldCharType="separate"/>
        </w:r>
        <w:r w:rsidR="0077573F" w:rsidRPr="00510AD0">
          <w:rPr>
            <w:noProof/>
          </w:rPr>
          <w:t>30</w:t>
        </w:r>
        <w:r w:rsidR="00E245DD" w:rsidRPr="00510AD0">
          <w:rPr>
            <w:noProof/>
          </w:rPr>
          <w:fldChar w:fldCharType="end"/>
        </w:r>
      </w:hyperlink>
    </w:p>
    <w:p w14:paraId="5BAFB22B" w14:textId="726D6AAD" w:rsidR="00E245DD" w:rsidRPr="00510AD0" w:rsidRDefault="00A1254C" w:rsidP="005E6C80">
      <w:pPr>
        <w:pStyle w:val="TOC2"/>
        <w:rPr>
          <w:rFonts w:eastAsiaTheme="minorEastAsia"/>
          <w:noProof/>
          <w:sz w:val="22"/>
          <w:szCs w:val="22"/>
        </w:rPr>
      </w:pPr>
      <w:hyperlink w:anchor="_Toc99035883" w:history="1">
        <w:r w:rsidR="00E245DD" w:rsidRPr="00510AD0">
          <w:rPr>
            <w:rStyle w:val="Hyperlink"/>
            <w:noProof/>
            <w:specVanish/>
          </w:rPr>
          <w:t>15.5</w:t>
        </w:r>
        <w:r w:rsidR="00E245DD" w:rsidRPr="00510AD0">
          <w:rPr>
            <w:rFonts w:eastAsiaTheme="minorEastAsia"/>
            <w:noProof/>
            <w:sz w:val="22"/>
            <w:szCs w:val="22"/>
          </w:rPr>
          <w:tab/>
        </w:r>
        <w:r w:rsidR="00E245DD" w:rsidRPr="00510AD0">
          <w:rPr>
            <w:rStyle w:val="Hyperlink"/>
            <w:noProof/>
          </w:rPr>
          <w:t>Subrogation of Rights</w:t>
        </w:r>
        <w:r w:rsidR="00E245DD" w:rsidRPr="00510AD0">
          <w:rPr>
            <w:noProof/>
          </w:rPr>
          <w:tab/>
        </w:r>
        <w:r w:rsidR="00E245DD" w:rsidRPr="00510AD0">
          <w:rPr>
            <w:noProof/>
          </w:rPr>
          <w:fldChar w:fldCharType="begin"/>
        </w:r>
        <w:r w:rsidR="00E245DD" w:rsidRPr="00510AD0">
          <w:rPr>
            <w:noProof/>
          </w:rPr>
          <w:instrText xml:space="preserve"> PAGEREF _Toc99035883 \h </w:instrText>
        </w:r>
        <w:r w:rsidR="00E245DD" w:rsidRPr="00510AD0">
          <w:rPr>
            <w:noProof/>
          </w:rPr>
        </w:r>
        <w:r w:rsidR="00E245DD" w:rsidRPr="00510AD0">
          <w:rPr>
            <w:noProof/>
          </w:rPr>
          <w:fldChar w:fldCharType="separate"/>
        </w:r>
        <w:r w:rsidR="0077573F" w:rsidRPr="00510AD0">
          <w:rPr>
            <w:noProof/>
          </w:rPr>
          <w:t>30</w:t>
        </w:r>
        <w:r w:rsidR="00E245DD" w:rsidRPr="00510AD0">
          <w:rPr>
            <w:noProof/>
          </w:rPr>
          <w:fldChar w:fldCharType="end"/>
        </w:r>
      </w:hyperlink>
    </w:p>
    <w:p w14:paraId="7E52F90E" w14:textId="0FCF1E26" w:rsidR="00E245DD" w:rsidRPr="00510AD0" w:rsidRDefault="00A1254C" w:rsidP="005E6C80">
      <w:pPr>
        <w:pStyle w:val="TOC2"/>
        <w:rPr>
          <w:rFonts w:eastAsiaTheme="minorEastAsia"/>
          <w:noProof/>
          <w:sz w:val="22"/>
          <w:szCs w:val="22"/>
        </w:rPr>
      </w:pPr>
      <w:hyperlink w:anchor="_Toc99035884" w:history="1">
        <w:r w:rsidR="00E245DD" w:rsidRPr="00510AD0">
          <w:rPr>
            <w:rStyle w:val="Hyperlink"/>
            <w:noProof/>
            <w:specVanish/>
          </w:rPr>
          <w:t>15.6</w:t>
        </w:r>
        <w:r w:rsidR="00E245DD" w:rsidRPr="00510AD0">
          <w:rPr>
            <w:rFonts w:eastAsiaTheme="minorEastAsia"/>
            <w:noProof/>
            <w:sz w:val="22"/>
            <w:szCs w:val="22"/>
          </w:rPr>
          <w:tab/>
        </w:r>
        <w:r w:rsidR="00E245DD" w:rsidRPr="00510AD0">
          <w:rPr>
            <w:rStyle w:val="Hyperlink"/>
            <w:noProof/>
          </w:rPr>
          <w:t>Rights and Remedies are Cumulative</w:t>
        </w:r>
        <w:r w:rsidR="00E245DD" w:rsidRPr="00510AD0">
          <w:rPr>
            <w:noProof/>
          </w:rPr>
          <w:tab/>
        </w:r>
        <w:r w:rsidR="00E245DD" w:rsidRPr="00510AD0">
          <w:rPr>
            <w:noProof/>
          </w:rPr>
          <w:fldChar w:fldCharType="begin"/>
        </w:r>
        <w:r w:rsidR="00E245DD" w:rsidRPr="00510AD0">
          <w:rPr>
            <w:noProof/>
          </w:rPr>
          <w:instrText xml:space="preserve"> PAGEREF _Toc99035884 \h </w:instrText>
        </w:r>
        <w:r w:rsidR="00E245DD" w:rsidRPr="00510AD0">
          <w:rPr>
            <w:noProof/>
          </w:rPr>
        </w:r>
        <w:r w:rsidR="00E245DD" w:rsidRPr="00510AD0">
          <w:rPr>
            <w:noProof/>
          </w:rPr>
          <w:fldChar w:fldCharType="separate"/>
        </w:r>
        <w:r w:rsidR="0077573F" w:rsidRPr="00510AD0">
          <w:rPr>
            <w:noProof/>
          </w:rPr>
          <w:t>30</w:t>
        </w:r>
        <w:r w:rsidR="00E245DD" w:rsidRPr="00510AD0">
          <w:rPr>
            <w:noProof/>
          </w:rPr>
          <w:fldChar w:fldCharType="end"/>
        </w:r>
      </w:hyperlink>
    </w:p>
    <w:p w14:paraId="50297B55" w14:textId="1AE0DFBD" w:rsidR="00E245DD" w:rsidRPr="00510AD0" w:rsidRDefault="00A1254C" w:rsidP="005E6C80">
      <w:pPr>
        <w:pStyle w:val="TOC2"/>
        <w:rPr>
          <w:rFonts w:eastAsiaTheme="minorEastAsia"/>
          <w:noProof/>
          <w:sz w:val="22"/>
          <w:szCs w:val="22"/>
        </w:rPr>
      </w:pPr>
      <w:hyperlink w:anchor="_Toc99035885" w:history="1">
        <w:r w:rsidR="00E245DD" w:rsidRPr="00510AD0">
          <w:rPr>
            <w:rStyle w:val="Hyperlink"/>
            <w:noProof/>
            <w:specVanish/>
          </w:rPr>
          <w:t>15.7</w:t>
        </w:r>
        <w:r w:rsidR="00E245DD" w:rsidRPr="00510AD0">
          <w:rPr>
            <w:rFonts w:eastAsiaTheme="minorEastAsia"/>
            <w:noProof/>
            <w:sz w:val="22"/>
            <w:szCs w:val="22"/>
          </w:rPr>
          <w:tab/>
        </w:r>
        <w:r w:rsidR="00E245DD" w:rsidRPr="00510AD0">
          <w:rPr>
            <w:rStyle w:val="Hyperlink"/>
            <w:noProof/>
          </w:rPr>
          <w:t>Insurance</w:t>
        </w:r>
        <w:r w:rsidR="00E245DD" w:rsidRPr="00510AD0">
          <w:rPr>
            <w:noProof/>
          </w:rPr>
          <w:tab/>
        </w:r>
        <w:r w:rsidR="00E245DD" w:rsidRPr="00510AD0">
          <w:rPr>
            <w:noProof/>
          </w:rPr>
          <w:fldChar w:fldCharType="begin"/>
        </w:r>
        <w:r w:rsidR="00E245DD" w:rsidRPr="00510AD0">
          <w:rPr>
            <w:noProof/>
          </w:rPr>
          <w:instrText xml:space="preserve"> PAGEREF _Toc99035885 \h </w:instrText>
        </w:r>
        <w:r w:rsidR="00E245DD" w:rsidRPr="00510AD0">
          <w:rPr>
            <w:noProof/>
          </w:rPr>
        </w:r>
        <w:r w:rsidR="00E245DD" w:rsidRPr="00510AD0">
          <w:rPr>
            <w:noProof/>
          </w:rPr>
          <w:fldChar w:fldCharType="separate"/>
        </w:r>
        <w:r w:rsidR="0077573F" w:rsidRPr="00510AD0">
          <w:rPr>
            <w:noProof/>
          </w:rPr>
          <w:t>31</w:t>
        </w:r>
        <w:r w:rsidR="00E245DD" w:rsidRPr="00510AD0">
          <w:rPr>
            <w:noProof/>
          </w:rPr>
          <w:fldChar w:fldCharType="end"/>
        </w:r>
      </w:hyperlink>
    </w:p>
    <w:p w14:paraId="626D3F6C" w14:textId="3FF41E57" w:rsidR="00E245DD" w:rsidRPr="00510AD0" w:rsidRDefault="00A1254C" w:rsidP="005E6C80">
      <w:pPr>
        <w:pStyle w:val="TOC1"/>
        <w:rPr>
          <w:rFonts w:eastAsiaTheme="minorEastAsia"/>
          <w:noProof/>
          <w:sz w:val="22"/>
          <w:szCs w:val="22"/>
        </w:rPr>
      </w:pPr>
      <w:hyperlink w:anchor="_Toc99035886" w:history="1">
        <w:r w:rsidR="00E245DD" w:rsidRPr="00510AD0">
          <w:rPr>
            <w:rStyle w:val="Hyperlink"/>
            <w:noProof/>
          </w:rPr>
          <w:t>Article Sixteen</w:t>
        </w:r>
        <w:r w:rsidR="005E6C80" w:rsidRPr="00510AD0">
          <w:rPr>
            <w:rStyle w:val="Hyperlink"/>
            <w:noProof/>
          </w:rPr>
          <w:t xml:space="preserve"> </w:t>
        </w:r>
        <w:r w:rsidR="00E245DD" w:rsidRPr="00510AD0">
          <w:rPr>
            <w:rStyle w:val="Hyperlink"/>
            <w:noProof/>
          </w:rPr>
          <w:t>RECORDS AND AUDIT RIGHTS</w:t>
        </w:r>
        <w:r w:rsidR="00E245DD" w:rsidRPr="00510AD0">
          <w:rPr>
            <w:noProof/>
          </w:rPr>
          <w:tab/>
        </w:r>
        <w:r w:rsidR="00E245DD" w:rsidRPr="00510AD0">
          <w:rPr>
            <w:noProof/>
          </w:rPr>
          <w:fldChar w:fldCharType="begin"/>
        </w:r>
        <w:r w:rsidR="00E245DD" w:rsidRPr="00510AD0">
          <w:rPr>
            <w:noProof/>
          </w:rPr>
          <w:instrText xml:space="preserve"> PAGEREF _Toc99035886 \h </w:instrText>
        </w:r>
        <w:r w:rsidR="00E245DD" w:rsidRPr="00510AD0">
          <w:rPr>
            <w:noProof/>
          </w:rPr>
        </w:r>
        <w:r w:rsidR="00E245DD" w:rsidRPr="00510AD0">
          <w:rPr>
            <w:noProof/>
          </w:rPr>
          <w:fldChar w:fldCharType="separate"/>
        </w:r>
        <w:r w:rsidR="0077573F" w:rsidRPr="00510AD0">
          <w:rPr>
            <w:noProof/>
          </w:rPr>
          <w:t>31</w:t>
        </w:r>
        <w:r w:rsidR="00E245DD" w:rsidRPr="00510AD0">
          <w:rPr>
            <w:noProof/>
          </w:rPr>
          <w:fldChar w:fldCharType="end"/>
        </w:r>
      </w:hyperlink>
    </w:p>
    <w:p w14:paraId="14270062" w14:textId="133CD0CA" w:rsidR="00E245DD" w:rsidRPr="00510AD0" w:rsidRDefault="00A1254C" w:rsidP="005E6C80">
      <w:pPr>
        <w:pStyle w:val="TOC2"/>
        <w:rPr>
          <w:rFonts w:eastAsiaTheme="minorEastAsia"/>
          <w:noProof/>
          <w:sz w:val="22"/>
          <w:szCs w:val="22"/>
        </w:rPr>
      </w:pPr>
      <w:hyperlink w:anchor="_Toc99035887" w:history="1">
        <w:r w:rsidR="00E245DD" w:rsidRPr="00510AD0">
          <w:rPr>
            <w:rStyle w:val="Hyperlink"/>
            <w:noProof/>
            <w:specVanish/>
          </w:rPr>
          <w:t>16.1</w:t>
        </w:r>
        <w:r w:rsidR="00E245DD" w:rsidRPr="00510AD0">
          <w:rPr>
            <w:rFonts w:eastAsiaTheme="minorEastAsia"/>
            <w:noProof/>
            <w:sz w:val="22"/>
            <w:szCs w:val="22"/>
          </w:rPr>
          <w:tab/>
        </w:r>
        <w:r w:rsidR="00E245DD" w:rsidRPr="00510AD0">
          <w:rPr>
            <w:rStyle w:val="Hyperlink"/>
            <w:noProof/>
          </w:rPr>
          <w:t>Operations Logs</w:t>
        </w:r>
        <w:r w:rsidR="00E245DD" w:rsidRPr="00510AD0">
          <w:rPr>
            <w:noProof/>
          </w:rPr>
          <w:tab/>
        </w:r>
        <w:r w:rsidR="00E245DD" w:rsidRPr="00510AD0">
          <w:rPr>
            <w:noProof/>
          </w:rPr>
          <w:fldChar w:fldCharType="begin"/>
        </w:r>
        <w:r w:rsidR="00E245DD" w:rsidRPr="00510AD0">
          <w:rPr>
            <w:noProof/>
          </w:rPr>
          <w:instrText xml:space="preserve"> PAGEREF _Toc99035887 \h </w:instrText>
        </w:r>
        <w:r w:rsidR="00E245DD" w:rsidRPr="00510AD0">
          <w:rPr>
            <w:noProof/>
          </w:rPr>
        </w:r>
        <w:r w:rsidR="00E245DD" w:rsidRPr="00510AD0">
          <w:rPr>
            <w:noProof/>
          </w:rPr>
          <w:fldChar w:fldCharType="separate"/>
        </w:r>
        <w:r w:rsidR="0077573F" w:rsidRPr="00510AD0">
          <w:rPr>
            <w:noProof/>
          </w:rPr>
          <w:t>31</w:t>
        </w:r>
        <w:r w:rsidR="00E245DD" w:rsidRPr="00510AD0">
          <w:rPr>
            <w:noProof/>
          </w:rPr>
          <w:fldChar w:fldCharType="end"/>
        </w:r>
      </w:hyperlink>
    </w:p>
    <w:p w14:paraId="37466387" w14:textId="492B380D" w:rsidR="00E245DD" w:rsidRPr="00510AD0" w:rsidRDefault="00A1254C" w:rsidP="005E6C80">
      <w:pPr>
        <w:pStyle w:val="TOC2"/>
        <w:rPr>
          <w:rFonts w:eastAsiaTheme="minorEastAsia"/>
          <w:noProof/>
          <w:sz w:val="22"/>
          <w:szCs w:val="22"/>
        </w:rPr>
      </w:pPr>
      <w:hyperlink w:anchor="_Toc99035888" w:history="1">
        <w:r w:rsidR="00E245DD" w:rsidRPr="00510AD0">
          <w:rPr>
            <w:rStyle w:val="Hyperlink"/>
            <w:noProof/>
          </w:rPr>
          <w:t>16.2</w:t>
        </w:r>
        <w:r w:rsidR="00E245DD" w:rsidRPr="00510AD0">
          <w:rPr>
            <w:rFonts w:eastAsiaTheme="minorEastAsia"/>
            <w:noProof/>
            <w:sz w:val="22"/>
            <w:szCs w:val="22"/>
          </w:rPr>
          <w:tab/>
        </w:r>
        <w:r w:rsidR="00E245DD" w:rsidRPr="00510AD0">
          <w:rPr>
            <w:rStyle w:val="Hyperlink"/>
            <w:noProof/>
          </w:rPr>
          <w:t>Records and Audit.</w:t>
        </w:r>
        <w:r w:rsidR="00E245DD" w:rsidRPr="00510AD0">
          <w:rPr>
            <w:noProof/>
          </w:rPr>
          <w:tab/>
        </w:r>
        <w:r w:rsidR="00E245DD" w:rsidRPr="00510AD0">
          <w:rPr>
            <w:noProof/>
          </w:rPr>
          <w:fldChar w:fldCharType="begin"/>
        </w:r>
        <w:r w:rsidR="00E245DD" w:rsidRPr="00510AD0">
          <w:rPr>
            <w:noProof/>
          </w:rPr>
          <w:instrText xml:space="preserve"> PAGEREF _Toc99035888 \h </w:instrText>
        </w:r>
        <w:r w:rsidR="00E245DD" w:rsidRPr="00510AD0">
          <w:rPr>
            <w:noProof/>
          </w:rPr>
        </w:r>
        <w:r w:rsidR="00E245DD" w:rsidRPr="00510AD0">
          <w:rPr>
            <w:noProof/>
          </w:rPr>
          <w:fldChar w:fldCharType="separate"/>
        </w:r>
        <w:r w:rsidR="0077573F" w:rsidRPr="00510AD0">
          <w:rPr>
            <w:noProof/>
          </w:rPr>
          <w:t>31</w:t>
        </w:r>
        <w:r w:rsidR="00E245DD" w:rsidRPr="00510AD0">
          <w:rPr>
            <w:noProof/>
          </w:rPr>
          <w:fldChar w:fldCharType="end"/>
        </w:r>
      </w:hyperlink>
    </w:p>
    <w:p w14:paraId="2265072A" w14:textId="1F229F6A" w:rsidR="00E245DD" w:rsidRPr="00510AD0" w:rsidRDefault="00A1254C" w:rsidP="005E6C80">
      <w:pPr>
        <w:pStyle w:val="TOC2"/>
        <w:rPr>
          <w:rFonts w:eastAsiaTheme="minorEastAsia"/>
          <w:noProof/>
          <w:sz w:val="22"/>
          <w:szCs w:val="22"/>
        </w:rPr>
      </w:pPr>
      <w:hyperlink w:anchor="_Toc99035889" w:history="1">
        <w:r w:rsidR="00E245DD" w:rsidRPr="00510AD0">
          <w:rPr>
            <w:rStyle w:val="Hyperlink"/>
            <w:noProof/>
            <w:specVanish/>
          </w:rPr>
          <w:t>16.3</w:t>
        </w:r>
        <w:r w:rsidR="00E245DD" w:rsidRPr="00510AD0">
          <w:rPr>
            <w:rFonts w:eastAsiaTheme="minorEastAsia"/>
            <w:noProof/>
            <w:sz w:val="22"/>
            <w:szCs w:val="22"/>
          </w:rPr>
          <w:tab/>
        </w:r>
        <w:r w:rsidR="00E245DD" w:rsidRPr="00510AD0">
          <w:rPr>
            <w:rStyle w:val="Hyperlink"/>
            <w:noProof/>
          </w:rPr>
          <w:t>General Audit Right</w:t>
        </w:r>
        <w:r w:rsidR="00E245DD" w:rsidRPr="00510AD0">
          <w:rPr>
            <w:noProof/>
          </w:rPr>
          <w:tab/>
        </w:r>
        <w:r w:rsidR="00E245DD" w:rsidRPr="00510AD0">
          <w:rPr>
            <w:noProof/>
          </w:rPr>
          <w:fldChar w:fldCharType="begin"/>
        </w:r>
        <w:r w:rsidR="00E245DD" w:rsidRPr="00510AD0">
          <w:rPr>
            <w:noProof/>
          </w:rPr>
          <w:instrText xml:space="preserve"> PAGEREF _Toc99035889 \h </w:instrText>
        </w:r>
        <w:r w:rsidR="00E245DD" w:rsidRPr="00510AD0">
          <w:rPr>
            <w:noProof/>
          </w:rPr>
        </w:r>
        <w:r w:rsidR="00E245DD" w:rsidRPr="00510AD0">
          <w:rPr>
            <w:noProof/>
          </w:rPr>
          <w:fldChar w:fldCharType="separate"/>
        </w:r>
        <w:r w:rsidR="0077573F" w:rsidRPr="00510AD0">
          <w:rPr>
            <w:noProof/>
          </w:rPr>
          <w:t>32</w:t>
        </w:r>
        <w:r w:rsidR="00E245DD" w:rsidRPr="00510AD0">
          <w:rPr>
            <w:noProof/>
          </w:rPr>
          <w:fldChar w:fldCharType="end"/>
        </w:r>
      </w:hyperlink>
    </w:p>
    <w:p w14:paraId="18D096EC" w14:textId="32C17AB7" w:rsidR="00E245DD" w:rsidRPr="00510AD0" w:rsidRDefault="00A1254C" w:rsidP="005E6C80">
      <w:pPr>
        <w:pStyle w:val="TOC2"/>
        <w:rPr>
          <w:rFonts w:eastAsiaTheme="minorEastAsia"/>
          <w:noProof/>
          <w:sz w:val="22"/>
          <w:szCs w:val="22"/>
        </w:rPr>
      </w:pPr>
      <w:hyperlink w:anchor="_Toc99035890" w:history="1">
        <w:r w:rsidR="00E245DD" w:rsidRPr="00510AD0">
          <w:rPr>
            <w:rStyle w:val="Hyperlink"/>
            <w:noProof/>
            <w:specVanish/>
          </w:rPr>
          <w:t>16.4</w:t>
        </w:r>
        <w:r w:rsidR="00E245DD" w:rsidRPr="00510AD0">
          <w:rPr>
            <w:rFonts w:eastAsiaTheme="minorEastAsia"/>
            <w:noProof/>
            <w:sz w:val="22"/>
            <w:szCs w:val="22"/>
          </w:rPr>
          <w:tab/>
        </w:r>
        <w:r w:rsidR="00E245DD" w:rsidRPr="00510AD0">
          <w:rPr>
            <w:rStyle w:val="Hyperlink"/>
            <w:noProof/>
          </w:rPr>
          <w:t>Data Request Cooperation</w:t>
        </w:r>
        <w:r w:rsidR="00E245DD" w:rsidRPr="00510AD0">
          <w:rPr>
            <w:noProof/>
          </w:rPr>
          <w:tab/>
        </w:r>
        <w:r w:rsidR="00E245DD" w:rsidRPr="00510AD0">
          <w:rPr>
            <w:noProof/>
          </w:rPr>
          <w:fldChar w:fldCharType="begin"/>
        </w:r>
        <w:r w:rsidR="00E245DD" w:rsidRPr="00510AD0">
          <w:rPr>
            <w:noProof/>
          </w:rPr>
          <w:instrText xml:space="preserve"> PAGEREF _Toc99035890 \h </w:instrText>
        </w:r>
        <w:r w:rsidR="00E245DD" w:rsidRPr="00510AD0">
          <w:rPr>
            <w:noProof/>
          </w:rPr>
        </w:r>
        <w:r w:rsidR="00E245DD" w:rsidRPr="00510AD0">
          <w:rPr>
            <w:noProof/>
          </w:rPr>
          <w:fldChar w:fldCharType="separate"/>
        </w:r>
        <w:r w:rsidR="0077573F" w:rsidRPr="00510AD0">
          <w:rPr>
            <w:noProof/>
          </w:rPr>
          <w:t>32</w:t>
        </w:r>
        <w:r w:rsidR="00E245DD" w:rsidRPr="00510AD0">
          <w:rPr>
            <w:noProof/>
          </w:rPr>
          <w:fldChar w:fldCharType="end"/>
        </w:r>
      </w:hyperlink>
    </w:p>
    <w:p w14:paraId="153AAC36" w14:textId="6C38B3FE" w:rsidR="00E245DD" w:rsidRPr="00510AD0" w:rsidRDefault="00A1254C" w:rsidP="005E6C80">
      <w:pPr>
        <w:pStyle w:val="TOC2"/>
        <w:rPr>
          <w:rFonts w:eastAsiaTheme="minorEastAsia"/>
          <w:noProof/>
          <w:sz w:val="22"/>
          <w:szCs w:val="22"/>
        </w:rPr>
      </w:pPr>
      <w:hyperlink w:anchor="_Toc99035891" w:history="1">
        <w:r w:rsidR="00E245DD" w:rsidRPr="00510AD0">
          <w:rPr>
            <w:rStyle w:val="Hyperlink"/>
            <w:noProof/>
            <w:specVanish/>
          </w:rPr>
          <w:t>16.5</w:t>
        </w:r>
        <w:r w:rsidR="00E245DD" w:rsidRPr="00510AD0">
          <w:rPr>
            <w:rFonts w:eastAsiaTheme="minorEastAsia"/>
            <w:noProof/>
            <w:sz w:val="22"/>
            <w:szCs w:val="22"/>
          </w:rPr>
          <w:tab/>
        </w:r>
        <w:r w:rsidR="00E245DD" w:rsidRPr="00510AD0">
          <w:rPr>
            <w:rStyle w:val="Hyperlink"/>
            <w:noProof/>
          </w:rPr>
          <w:t>Access Rights</w:t>
        </w:r>
        <w:r w:rsidR="00E245DD" w:rsidRPr="00510AD0">
          <w:rPr>
            <w:noProof/>
          </w:rPr>
          <w:tab/>
        </w:r>
        <w:r w:rsidR="00E245DD" w:rsidRPr="00510AD0">
          <w:rPr>
            <w:noProof/>
          </w:rPr>
          <w:fldChar w:fldCharType="begin"/>
        </w:r>
        <w:r w:rsidR="00E245DD" w:rsidRPr="00510AD0">
          <w:rPr>
            <w:noProof/>
          </w:rPr>
          <w:instrText xml:space="preserve"> PAGEREF _Toc99035891 \h </w:instrText>
        </w:r>
        <w:r w:rsidR="00E245DD" w:rsidRPr="00510AD0">
          <w:rPr>
            <w:noProof/>
          </w:rPr>
        </w:r>
        <w:r w:rsidR="00E245DD" w:rsidRPr="00510AD0">
          <w:rPr>
            <w:noProof/>
          </w:rPr>
          <w:fldChar w:fldCharType="separate"/>
        </w:r>
        <w:r w:rsidR="0077573F" w:rsidRPr="00510AD0">
          <w:rPr>
            <w:noProof/>
          </w:rPr>
          <w:t>32</w:t>
        </w:r>
        <w:r w:rsidR="00E245DD" w:rsidRPr="00510AD0">
          <w:rPr>
            <w:noProof/>
          </w:rPr>
          <w:fldChar w:fldCharType="end"/>
        </w:r>
      </w:hyperlink>
    </w:p>
    <w:p w14:paraId="06ED4A3E" w14:textId="36D2605B" w:rsidR="00E245DD" w:rsidRPr="00510AD0" w:rsidRDefault="00A1254C" w:rsidP="005E6C80">
      <w:pPr>
        <w:pStyle w:val="TOC1"/>
        <w:rPr>
          <w:rFonts w:eastAsiaTheme="minorEastAsia"/>
          <w:noProof/>
          <w:sz w:val="22"/>
          <w:szCs w:val="22"/>
        </w:rPr>
      </w:pPr>
      <w:hyperlink w:anchor="_Toc99035892" w:history="1">
        <w:r w:rsidR="00E245DD" w:rsidRPr="00510AD0">
          <w:rPr>
            <w:rStyle w:val="Hyperlink"/>
            <w:noProof/>
          </w:rPr>
          <w:t>Article Seventeen</w:t>
        </w:r>
        <w:r w:rsidR="005E6C80" w:rsidRPr="00510AD0">
          <w:rPr>
            <w:rStyle w:val="Hyperlink"/>
            <w:noProof/>
          </w:rPr>
          <w:t xml:space="preserve"> </w:t>
        </w:r>
        <w:r w:rsidR="00E245DD" w:rsidRPr="00510AD0">
          <w:rPr>
            <w:rStyle w:val="Hyperlink"/>
            <w:noProof/>
          </w:rPr>
          <w:t>ASSIGNMENT</w:t>
        </w:r>
        <w:r w:rsidR="00E245DD" w:rsidRPr="00510AD0">
          <w:rPr>
            <w:noProof/>
          </w:rPr>
          <w:tab/>
        </w:r>
        <w:r w:rsidR="00E245DD" w:rsidRPr="00510AD0">
          <w:rPr>
            <w:noProof/>
          </w:rPr>
          <w:fldChar w:fldCharType="begin"/>
        </w:r>
        <w:r w:rsidR="00E245DD" w:rsidRPr="00510AD0">
          <w:rPr>
            <w:noProof/>
          </w:rPr>
          <w:instrText xml:space="preserve"> PAGEREF _Toc99035892 \h </w:instrText>
        </w:r>
        <w:r w:rsidR="00E245DD" w:rsidRPr="00510AD0">
          <w:rPr>
            <w:noProof/>
          </w:rPr>
        </w:r>
        <w:r w:rsidR="00E245DD" w:rsidRPr="00510AD0">
          <w:rPr>
            <w:noProof/>
          </w:rPr>
          <w:fldChar w:fldCharType="separate"/>
        </w:r>
        <w:r w:rsidR="0077573F" w:rsidRPr="00510AD0">
          <w:rPr>
            <w:noProof/>
          </w:rPr>
          <w:t>32</w:t>
        </w:r>
        <w:r w:rsidR="00E245DD" w:rsidRPr="00510AD0">
          <w:rPr>
            <w:noProof/>
          </w:rPr>
          <w:fldChar w:fldCharType="end"/>
        </w:r>
      </w:hyperlink>
    </w:p>
    <w:p w14:paraId="5845EFF5" w14:textId="27BDF7B5" w:rsidR="00E245DD" w:rsidRPr="00510AD0" w:rsidRDefault="00A1254C" w:rsidP="005E6C80">
      <w:pPr>
        <w:pStyle w:val="TOC2"/>
        <w:rPr>
          <w:rFonts w:eastAsiaTheme="minorEastAsia"/>
          <w:noProof/>
          <w:sz w:val="22"/>
          <w:szCs w:val="22"/>
        </w:rPr>
      </w:pPr>
      <w:hyperlink w:anchor="_Toc99035893" w:history="1">
        <w:r w:rsidR="00E245DD" w:rsidRPr="00510AD0">
          <w:rPr>
            <w:rStyle w:val="Hyperlink"/>
            <w:noProof/>
            <w:specVanish/>
          </w:rPr>
          <w:t>17.1</w:t>
        </w:r>
        <w:r w:rsidR="00E245DD" w:rsidRPr="00510AD0">
          <w:rPr>
            <w:rFonts w:eastAsiaTheme="minorEastAsia"/>
            <w:noProof/>
            <w:sz w:val="22"/>
            <w:szCs w:val="22"/>
          </w:rPr>
          <w:tab/>
        </w:r>
        <w:r w:rsidR="00E245DD" w:rsidRPr="00510AD0">
          <w:rPr>
            <w:rStyle w:val="Hyperlink"/>
            <w:noProof/>
          </w:rPr>
          <w:t>General Assignment</w:t>
        </w:r>
        <w:r w:rsidR="00E245DD" w:rsidRPr="00510AD0">
          <w:rPr>
            <w:noProof/>
          </w:rPr>
          <w:tab/>
        </w:r>
        <w:r w:rsidR="00E245DD" w:rsidRPr="00510AD0">
          <w:rPr>
            <w:noProof/>
          </w:rPr>
          <w:fldChar w:fldCharType="begin"/>
        </w:r>
        <w:r w:rsidR="00E245DD" w:rsidRPr="00510AD0">
          <w:rPr>
            <w:noProof/>
          </w:rPr>
          <w:instrText xml:space="preserve"> PAGEREF _Toc99035893 \h </w:instrText>
        </w:r>
        <w:r w:rsidR="00E245DD" w:rsidRPr="00510AD0">
          <w:rPr>
            <w:noProof/>
          </w:rPr>
        </w:r>
        <w:r w:rsidR="00E245DD" w:rsidRPr="00510AD0">
          <w:rPr>
            <w:noProof/>
          </w:rPr>
          <w:fldChar w:fldCharType="separate"/>
        </w:r>
        <w:r w:rsidR="0077573F" w:rsidRPr="00510AD0">
          <w:rPr>
            <w:noProof/>
          </w:rPr>
          <w:t>32</w:t>
        </w:r>
        <w:r w:rsidR="00E245DD" w:rsidRPr="00510AD0">
          <w:rPr>
            <w:noProof/>
          </w:rPr>
          <w:fldChar w:fldCharType="end"/>
        </w:r>
      </w:hyperlink>
    </w:p>
    <w:p w14:paraId="0E137621" w14:textId="0E4A6AAC" w:rsidR="00E245DD" w:rsidRPr="00510AD0" w:rsidRDefault="00A1254C" w:rsidP="005E6C80">
      <w:pPr>
        <w:pStyle w:val="TOC2"/>
        <w:rPr>
          <w:rFonts w:eastAsiaTheme="minorEastAsia"/>
          <w:noProof/>
          <w:sz w:val="22"/>
          <w:szCs w:val="22"/>
        </w:rPr>
      </w:pPr>
      <w:hyperlink w:anchor="_Toc99035894" w:history="1">
        <w:r w:rsidR="00E245DD" w:rsidRPr="00510AD0">
          <w:rPr>
            <w:rStyle w:val="Hyperlink"/>
            <w:noProof/>
            <w:specVanish/>
          </w:rPr>
          <w:t>17.2</w:t>
        </w:r>
        <w:r w:rsidR="00E245DD" w:rsidRPr="00510AD0">
          <w:rPr>
            <w:rFonts w:eastAsiaTheme="minorEastAsia"/>
            <w:noProof/>
            <w:sz w:val="22"/>
            <w:szCs w:val="22"/>
          </w:rPr>
          <w:tab/>
        </w:r>
        <w:r w:rsidR="00E245DD" w:rsidRPr="00510AD0">
          <w:rPr>
            <w:rStyle w:val="Hyperlink"/>
            <w:noProof/>
          </w:rPr>
          <w:t>[Reserved.]</w:t>
        </w:r>
        <w:r w:rsidR="00E245DD" w:rsidRPr="00510AD0">
          <w:rPr>
            <w:noProof/>
          </w:rPr>
          <w:tab/>
        </w:r>
        <w:r w:rsidR="00E245DD" w:rsidRPr="00510AD0">
          <w:rPr>
            <w:noProof/>
          </w:rPr>
          <w:fldChar w:fldCharType="begin"/>
        </w:r>
        <w:r w:rsidR="00E245DD" w:rsidRPr="00510AD0">
          <w:rPr>
            <w:noProof/>
          </w:rPr>
          <w:instrText xml:space="preserve"> PAGEREF _Toc99035894 \h </w:instrText>
        </w:r>
        <w:r w:rsidR="00E245DD" w:rsidRPr="00510AD0">
          <w:rPr>
            <w:noProof/>
          </w:rPr>
        </w:r>
        <w:r w:rsidR="00E245DD" w:rsidRPr="00510AD0">
          <w:rPr>
            <w:noProof/>
          </w:rPr>
          <w:fldChar w:fldCharType="separate"/>
        </w:r>
        <w:r w:rsidR="0077573F" w:rsidRPr="00510AD0">
          <w:rPr>
            <w:noProof/>
          </w:rPr>
          <w:t>33</w:t>
        </w:r>
        <w:r w:rsidR="00E245DD" w:rsidRPr="00510AD0">
          <w:rPr>
            <w:noProof/>
          </w:rPr>
          <w:fldChar w:fldCharType="end"/>
        </w:r>
      </w:hyperlink>
    </w:p>
    <w:p w14:paraId="1BA78796" w14:textId="57EAEEB2" w:rsidR="00E245DD" w:rsidRPr="00510AD0" w:rsidRDefault="00A1254C" w:rsidP="005E6C80">
      <w:pPr>
        <w:pStyle w:val="TOC2"/>
        <w:rPr>
          <w:rFonts w:eastAsiaTheme="minorEastAsia"/>
          <w:noProof/>
          <w:sz w:val="22"/>
          <w:szCs w:val="22"/>
        </w:rPr>
      </w:pPr>
      <w:hyperlink w:anchor="_Toc99035895" w:history="1">
        <w:r w:rsidR="00E245DD" w:rsidRPr="00510AD0">
          <w:rPr>
            <w:rStyle w:val="Hyperlink"/>
            <w:noProof/>
            <w:specVanish/>
          </w:rPr>
          <w:t>17.3</w:t>
        </w:r>
        <w:r w:rsidR="00E245DD" w:rsidRPr="00510AD0">
          <w:rPr>
            <w:rFonts w:eastAsiaTheme="minorEastAsia"/>
            <w:noProof/>
            <w:sz w:val="22"/>
            <w:szCs w:val="22"/>
          </w:rPr>
          <w:tab/>
        </w:r>
        <w:r w:rsidR="00E245DD" w:rsidRPr="00510AD0">
          <w:rPr>
            <w:rStyle w:val="Hyperlink"/>
            <w:noProof/>
          </w:rPr>
          <w:t>Assignment in Connection with a Change in Control</w:t>
        </w:r>
        <w:r w:rsidR="00E245DD" w:rsidRPr="00510AD0">
          <w:rPr>
            <w:noProof/>
          </w:rPr>
          <w:tab/>
        </w:r>
        <w:r w:rsidR="00E245DD" w:rsidRPr="00510AD0">
          <w:rPr>
            <w:noProof/>
          </w:rPr>
          <w:fldChar w:fldCharType="begin"/>
        </w:r>
        <w:r w:rsidR="00E245DD" w:rsidRPr="00510AD0">
          <w:rPr>
            <w:noProof/>
          </w:rPr>
          <w:instrText xml:space="preserve"> PAGEREF _Toc99035895 \h </w:instrText>
        </w:r>
        <w:r w:rsidR="00E245DD" w:rsidRPr="00510AD0">
          <w:rPr>
            <w:noProof/>
          </w:rPr>
        </w:r>
        <w:r w:rsidR="00E245DD" w:rsidRPr="00510AD0">
          <w:rPr>
            <w:noProof/>
          </w:rPr>
          <w:fldChar w:fldCharType="separate"/>
        </w:r>
        <w:r w:rsidR="0077573F" w:rsidRPr="00510AD0">
          <w:rPr>
            <w:noProof/>
          </w:rPr>
          <w:t>33</w:t>
        </w:r>
        <w:r w:rsidR="00E245DD" w:rsidRPr="00510AD0">
          <w:rPr>
            <w:noProof/>
          </w:rPr>
          <w:fldChar w:fldCharType="end"/>
        </w:r>
      </w:hyperlink>
    </w:p>
    <w:p w14:paraId="050956CB" w14:textId="61D7CBBC" w:rsidR="00E245DD" w:rsidRPr="00510AD0" w:rsidRDefault="00A1254C" w:rsidP="005E6C80">
      <w:pPr>
        <w:pStyle w:val="TOC2"/>
        <w:rPr>
          <w:rFonts w:eastAsiaTheme="minorEastAsia"/>
          <w:noProof/>
          <w:sz w:val="22"/>
          <w:szCs w:val="22"/>
        </w:rPr>
      </w:pPr>
      <w:hyperlink w:anchor="_Toc99035896" w:history="1">
        <w:r w:rsidR="00E245DD" w:rsidRPr="00510AD0">
          <w:rPr>
            <w:rStyle w:val="Hyperlink"/>
            <w:noProof/>
            <w:specVanish/>
          </w:rPr>
          <w:t>17.4</w:t>
        </w:r>
        <w:r w:rsidR="00E245DD" w:rsidRPr="00510AD0">
          <w:rPr>
            <w:rFonts w:eastAsiaTheme="minorEastAsia"/>
            <w:noProof/>
            <w:sz w:val="22"/>
            <w:szCs w:val="22"/>
          </w:rPr>
          <w:tab/>
        </w:r>
        <w:r w:rsidR="00E245DD" w:rsidRPr="00510AD0">
          <w:rPr>
            <w:rStyle w:val="Hyperlink"/>
            <w:noProof/>
          </w:rPr>
          <w:t>Unauthorized Assignment</w:t>
        </w:r>
        <w:r w:rsidR="00E245DD" w:rsidRPr="00510AD0">
          <w:rPr>
            <w:noProof/>
          </w:rPr>
          <w:tab/>
        </w:r>
        <w:r w:rsidR="00E245DD" w:rsidRPr="00510AD0">
          <w:rPr>
            <w:noProof/>
          </w:rPr>
          <w:fldChar w:fldCharType="begin"/>
        </w:r>
        <w:r w:rsidR="00E245DD" w:rsidRPr="00510AD0">
          <w:rPr>
            <w:noProof/>
          </w:rPr>
          <w:instrText xml:space="preserve"> PAGEREF _Toc99035896 \h </w:instrText>
        </w:r>
        <w:r w:rsidR="00E245DD" w:rsidRPr="00510AD0">
          <w:rPr>
            <w:noProof/>
          </w:rPr>
        </w:r>
        <w:r w:rsidR="00E245DD" w:rsidRPr="00510AD0">
          <w:rPr>
            <w:noProof/>
          </w:rPr>
          <w:fldChar w:fldCharType="separate"/>
        </w:r>
        <w:r w:rsidR="0077573F" w:rsidRPr="00510AD0">
          <w:rPr>
            <w:noProof/>
          </w:rPr>
          <w:t>33</w:t>
        </w:r>
        <w:r w:rsidR="00E245DD" w:rsidRPr="00510AD0">
          <w:rPr>
            <w:noProof/>
          </w:rPr>
          <w:fldChar w:fldCharType="end"/>
        </w:r>
      </w:hyperlink>
    </w:p>
    <w:p w14:paraId="5253604B" w14:textId="47719E63" w:rsidR="00E245DD" w:rsidRPr="00510AD0" w:rsidRDefault="00A1254C" w:rsidP="005E6C80">
      <w:pPr>
        <w:pStyle w:val="TOC1"/>
        <w:rPr>
          <w:rFonts w:eastAsiaTheme="minorEastAsia"/>
          <w:noProof/>
          <w:sz w:val="22"/>
          <w:szCs w:val="22"/>
        </w:rPr>
      </w:pPr>
      <w:hyperlink w:anchor="_Toc99035897" w:history="1">
        <w:r w:rsidR="00E245DD" w:rsidRPr="00510AD0">
          <w:rPr>
            <w:rStyle w:val="Hyperlink"/>
            <w:noProof/>
          </w:rPr>
          <w:t>Article Eighteen</w:t>
        </w:r>
        <w:r w:rsidR="005E6C80" w:rsidRPr="00510AD0">
          <w:rPr>
            <w:rStyle w:val="Hyperlink"/>
            <w:noProof/>
          </w:rPr>
          <w:t xml:space="preserve"> </w:t>
        </w:r>
        <w:r w:rsidR="00E245DD" w:rsidRPr="00510AD0">
          <w:rPr>
            <w:rStyle w:val="Hyperlink"/>
            <w:noProof/>
          </w:rPr>
          <w:t>DISPUTE RESOLUTION</w:t>
        </w:r>
        <w:r w:rsidR="00E245DD" w:rsidRPr="00510AD0">
          <w:rPr>
            <w:noProof/>
          </w:rPr>
          <w:tab/>
        </w:r>
        <w:r w:rsidR="00E245DD" w:rsidRPr="00510AD0">
          <w:rPr>
            <w:noProof/>
          </w:rPr>
          <w:fldChar w:fldCharType="begin"/>
        </w:r>
        <w:r w:rsidR="00E245DD" w:rsidRPr="00510AD0">
          <w:rPr>
            <w:noProof/>
          </w:rPr>
          <w:instrText xml:space="preserve"> PAGEREF _Toc99035897 \h </w:instrText>
        </w:r>
        <w:r w:rsidR="00E245DD" w:rsidRPr="00510AD0">
          <w:rPr>
            <w:noProof/>
          </w:rPr>
        </w:r>
        <w:r w:rsidR="00E245DD" w:rsidRPr="00510AD0">
          <w:rPr>
            <w:noProof/>
          </w:rPr>
          <w:fldChar w:fldCharType="separate"/>
        </w:r>
        <w:r w:rsidR="0077573F" w:rsidRPr="00510AD0">
          <w:rPr>
            <w:noProof/>
          </w:rPr>
          <w:t>33</w:t>
        </w:r>
        <w:r w:rsidR="00E245DD" w:rsidRPr="00510AD0">
          <w:rPr>
            <w:noProof/>
          </w:rPr>
          <w:fldChar w:fldCharType="end"/>
        </w:r>
      </w:hyperlink>
    </w:p>
    <w:p w14:paraId="63A20013" w14:textId="22D5DECD" w:rsidR="00E245DD" w:rsidRPr="00510AD0" w:rsidRDefault="00A1254C" w:rsidP="005E6C80">
      <w:pPr>
        <w:pStyle w:val="TOC2"/>
        <w:rPr>
          <w:rFonts w:eastAsiaTheme="minorEastAsia"/>
          <w:noProof/>
          <w:sz w:val="22"/>
          <w:szCs w:val="22"/>
        </w:rPr>
      </w:pPr>
      <w:hyperlink w:anchor="_Toc99035898" w:history="1">
        <w:r w:rsidR="00E245DD" w:rsidRPr="00510AD0">
          <w:rPr>
            <w:rStyle w:val="Hyperlink"/>
            <w:noProof/>
            <w:specVanish/>
          </w:rPr>
          <w:t>18.1</w:t>
        </w:r>
        <w:r w:rsidR="00E245DD" w:rsidRPr="00510AD0">
          <w:rPr>
            <w:rFonts w:eastAsiaTheme="minorEastAsia"/>
            <w:noProof/>
            <w:sz w:val="22"/>
            <w:szCs w:val="22"/>
          </w:rPr>
          <w:tab/>
        </w:r>
        <w:r w:rsidR="00E245DD" w:rsidRPr="00510AD0">
          <w:rPr>
            <w:rStyle w:val="Hyperlink"/>
            <w:noProof/>
          </w:rPr>
          <w:t>Intent of the Parties</w:t>
        </w:r>
        <w:r w:rsidR="00E245DD" w:rsidRPr="00510AD0">
          <w:rPr>
            <w:noProof/>
          </w:rPr>
          <w:tab/>
        </w:r>
        <w:r w:rsidR="00E245DD" w:rsidRPr="00510AD0">
          <w:rPr>
            <w:noProof/>
          </w:rPr>
          <w:fldChar w:fldCharType="begin"/>
        </w:r>
        <w:r w:rsidR="00E245DD" w:rsidRPr="00510AD0">
          <w:rPr>
            <w:noProof/>
          </w:rPr>
          <w:instrText xml:space="preserve"> PAGEREF _Toc99035898 \h </w:instrText>
        </w:r>
        <w:r w:rsidR="00E245DD" w:rsidRPr="00510AD0">
          <w:rPr>
            <w:noProof/>
          </w:rPr>
        </w:r>
        <w:r w:rsidR="00E245DD" w:rsidRPr="00510AD0">
          <w:rPr>
            <w:noProof/>
          </w:rPr>
          <w:fldChar w:fldCharType="separate"/>
        </w:r>
        <w:r w:rsidR="0077573F" w:rsidRPr="00510AD0">
          <w:rPr>
            <w:noProof/>
          </w:rPr>
          <w:t>33</w:t>
        </w:r>
        <w:r w:rsidR="00E245DD" w:rsidRPr="00510AD0">
          <w:rPr>
            <w:noProof/>
          </w:rPr>
          <w:fldChar w:fldCharType="end"/>
        </w:r>
      </w:hyperlink>
    </w:p>
    <w:p w14:paraId="58E9C925" w14:textId="073129E6" w:rsidR="00E245DD" w:rsidRPr="00510AD0" w:rsidRDefault="00A1254C" w:rsidP="005E6C80">
      <w:pPr>
        <w:pStyle w:val="TOC2"/>
        <w:rPr>
          <w:rFonts w:eastAsiaTheme="minorEastAsia"/>
          <w:noProof/>
          <w:sz w:val="22"/>
          <w:szCs w:val="22"/>
        </w:rPr>
      </w:pPr>
      <w:hyperlink w:anchor="_Toc99035899" w:history="1">
        <w:r w:rsidR="00E245DD" w:rsidRPr="00510AD0">
          <w:rPr>
            <w:rStyle w:val="Hyperlink"/>
            <w:noProof/>
          </w:rPr>
          <w:t>18.2</w:t>
        </w:r>
        <w:r w:rsidR="00E245DD" w:rsidRPr="00510AD0">
          <w:rPr>
            <w:rFonts w:eastAsiaTheme="minorEastAsia"/>
            <w:noProof/>
            <w:sz w:val="22"/>
            <w:szCs w:val="22"/>
          </w:rPr>
          <w:tab/>
        </w:r>
        <w:r w:rsidR="00E245DD" w:rsidRPr="00510AD0">
          <w:rPr>
            <w:rStyle w:val="Hyperlink"/>
            <w:noProof/>
          </w:rPr>
          <w:t>Management Negotiations.</w:t>
        </w:r>
        <w:r w:rsidR="00E245DD" w:rsidRPr="00510AD0">
          <w:rPr>
            <w:noProof/>
          </w:rPr>
          <w:tab/>
        </w:r>
        <w:r w:rsidR="00E245DD" w:rsidRPr="00510AD0">
          <w:rPr>
            <w:noProof/>
          </w:rPr>
          <w:fldChar w:fldCharType="begin"/>
        </w:r>
        <w:r w:rsidR="00E245DD" w:rsidRPr="00510AD0">
          <w:rPr>
            <w:noProof/>
          </w:rPr>
          <w:instrText xml:space="preserve"> PAGEREF _Toc99035899 \h </w:instrText>
        </w:r>
        <w:r w:rsidR="00E245DD" w:rsidRPr="00510AD0">
          <w:rPr>
            <w:noProof/>
          </w:rPr>
        </w:r>
        <w:r w:rsidR="00E245DD" w:rsidRPr="00510AD0">
          <w:rPr>
            <w:noProof/>
          </w:rPr>
          <w:fldChar w:fldCharType="separate"/>
        </w:r>
        <w:r w:rsidR="0077573F" w:rsidRPr="00510AD0">
          <w:rPr>
            <w:noProof/>
          </w:rPr>
          <w:t>33</w:t>
        </w:r>
        <w:r w:rsidR="00E245DD" w:rsidRPr="00510AD0">
          <w:rPr>
            <w:noProof/>
          </w:rPr>
          <w:fldChar w:fldCharType="end"/>
        </w:r>
      </w:hyperlink>
    </w:p>
    <w:p w14:paraId="1BD66E08" w14:textId="5C07F19D" w:rsidR="00E245DD" w:rsidRPr="00510AD0" w:rsidRDefault="00A1254C" w:rsidP="005E6C80">
      <w:pPr>
        <w:pStyle w:val="TOC2"/>
        <w:rPr>
          <w:rFonts w:eastAsiaTheme="minorEastAsia"/>
          <w:noProof/>
          <w:sz w:val="22"/>
          <w:szCs w:val="22"/>
        </w:rPr>
      </w:pPr>
      <w:hyperlink w:anchor="_Toc99035900" w:history="1">
        <w:r w:rsidR="00E245DD" w:rsidRPr="00510AD0">
          <w:rPr>
            <w:rStyle w:val="Hyperlink"/>
            <w:noProof/>
            <w:specVanish/>
          </w:rPr>
          <w:t>18.3</w:t>
        </w:r>
        <w:r w:rsidR="00E245DD" w:rsidRPr="00510AD0">
          <w:rPr>
            <w:rFonts w:eastAsiaTheme="minorEastAsia"/>
            <w:noProof/>
            <w:sz w:val="22"/>
            <w:szCs w:val="22"/>
          </w:rPr>
          <w:tab/>
        </w:r>
        <w:r w:rsidR="00E245DD" w:rsidRPr="00510AD0">
          <w:rPr>
            <w:rStyle w:val="Hyperlink"/>
            <w:noProof/>
          </w:rPr>
          <w:t>Mediation</w:t>
        </w:r>
        <w:r w:rsidR="00E245DD" w:rsidRPr="00510AD0">
          <w:rPr>
            <w:noProof/>
          </w:rPr>
          <w:tab/>
        </w:r>
        <w:r w:rsidR="00E245DD" w:rsidRPr="00510AD0">
          <w:rPr>
            <w:noProof/>
          </w:rPr>
          <w:fldChar w:fldCharType="begin"/>
        </w:r>
        <w:r w:rsidR="00E245DD" w:rsidRPr="00510AD0">
          <w:rPr>
            <w:noProof/>
          </w:rPr>
          <w:instrText xml:space="preserve"> PAGEREF _Toc99035900 \h </w:instrText>
        </w:r>
        <w:r w:rsidR="00E245DD" w:rsidRPr="00510AD0">
          <w:rPr>
            <w:noProof/>
          </w:rPr>
        </w:r>
        <w:r w:rsidR="00E245DD" w:rsidRPr="00510AD0">
          <w:rPr>
            <w:noProof/>
          </w:rPr>
          <w:fldChar w:fldCharType="separate"/>
        </w:r>
        <w:r w:rsidR="0077573F" w:rsidRPr="00510AD0">
          <w:rPr>
            <w:noProof/>
          </w:rPr>
          <w:t>34</w:t>
        </w:r>
        <w:r w:rsidR="00E245DD" w:rsidRPr="00510AD0">
          <w:rPr>
            <w:noProof/>
          </w:rPr>
          <w:fldChar w:fldCharType="end"/>
        </w:r>
      </w:hyperlink>
    </w:p>
    <w:p w14:paraId="0C47D75E" w14:textId="763A3943" w:rsidR="00E245DD" w:rsidRPr="00510AD0" w:rsidRDefault="00A1254C" w:rsidP="005E6C80">
      <w:pPr>
        <w:pStyle w:val="TOC2"/>
        <w:rPr>
          <w:rFonts w:eastAsiaTheme="minorEastAsia"/>
          <w:noProof/>
          <w:sz w:val="22"/>
          <w:szCs w:val="22"/>
        </w:rPr>
      </w:pPr>
      <w:hyperlink w:anchor="_Toc99035901" w:history="1">
        <w:r w:rsidR="00E245DD" w:rsidRPr="00510AD0">
          <w:rPr>
            <w:rStyle w:val="Hyperlink"/>
            <w:noProof/>
            <w:specVanish/>
          </w:rPr>
          <w:t>18.4</w:t>
        </w:r>
        <w:r w:rsidR="00E245DD" w:rsidRPr="00510AD0">
          <w:rPr>
            <w:rFonts w:eastAsiaTheme="minorEastAsia"/>
            <w:noProof/>
            <w:sz w:val="22"/>
            <w:szCs w:val="22"/>
          </w:rPr>
          <w:tab/>
        </w:r>
        <w:r w:rsidR="00E245DD" w:rsidRPr="00510AD0">
          <w:rPr>
            <w:rStyle w:val="Hyperlink"/>
            <w:noProof/>
          </w:rPr>
          <w:t>Arbitration</w:t>
        </w:r>
        <w:r w:rsidR="00E245DD" w:rsidRPr="00510AD0">
          <w:rPr>
            <w:noProof/>
          </w:rPr>
          <w:tab/>
        </w:r>
        <w:r w:rsidR="00E245DD" w:rsidRPr="00510AD0">
          <w:rPr>
            <w:noProof/>
          </w:rPr>
          <w:fldChar w:fldCharType="begin"/>
        </w:r>
        <w:r w:rsidR="00E245DD" w:rsidRPr="00510AD0">
          <w:rPr>
            <w:noProof/>
          </w:rPr>
          <w:instrText xml:space="preserve"> PAGEREF _Toc99035901 \h </w:instrText>
        </w:r>
        <w:r w:rsidR="00E245DD" w:rsidRPr="00510AD0">
          <w:rPr>
            <w:noProof/>
          </w:rPr>
        </w:r>
        <w:r w:rsidR="00E245DD" w:rsidRPr="00510AD0">
          <w:rPr>
            <w:noProof/>
          </w:rPr>
          <w:fldChar w:fldCharType="separate"/>
        </w:r>
        <w:r w:rsidR="0077573F" w:rsidRPr="00510AD0">
          <w:rPr>
            <w:noProof/>
          </w:rPr>
          <w:t>34</w:t>
        </w:r>
        <w:r w:rsidR="00E245DD" w:rsidRPr="00510AD0">
          <w:rPr>
            <w:noProof/>
          </w:rPr>
          <w:fldChar w:fldCharType="end"/>
        </w:r>
      </w:hyperlink>
    </w:p>
    <w:p w14:paraId="3B1DD5F0" w14:textId="657415D6" w:rsidR="00E245DD" w:rsidRPr="00510AD0" w:rsidRDefault="00A1254C" w:rsidP="005E6C80">
      <w:pPr>
        <w:pStyle w:val="TOC1"/>
        <w:rPr>
          <w:rFonts w:eastAsiaTheme="minorEastAsia"/>
          <w:noProof/>
          <w:sz w:val="22"/>
          <w:szCs w:val="22"/>
        </w:rPr>
      </w:pPr>
      <w:hyperlink w:anchor="_Toc99035902" w:history="1">
        <w:r w:rsidR="00E245DD" w:rsidRPr="00510AD0">
          <w:rPr>
            <w:rStyle w:val="Hyperlink"/>
            <w:noProof/>
          </w:rPr>
          <w:t>Article Nineteen</w:t>
        </w:r>
        <w:r w:rsidR="005E6C80" w:rsidRPr="00510AD0">
          <w:rPr>
            <w:rStyle w:val="Hyperlink"/>
            <w:noProof/>
          </w:rPr>
          <w:t xml:space="preserve"> </w:t>
        </w:r>
        <w:r w:rsidR="00E245DD" w:rsidRPr="00510AD0">
          <w:rPr>
            <w:rStyle w:val="Hyperlink"/>
            <w:noProof/>
          </w:rPr>
          <w:t>CONFIDENTIALITY</w:t>
        </w:r>
        <w:r w:rsidR="00E245DD" w:rsidRPr="00510AD0">
          <w:rPr>
            <w:noProof/>
          </w:rPr>
          <w:tab/>
        </w:r>
        <w:r w:rsidR="00E245DD" w:rsidRPr="00510AD0">
          <w:rPr>
            <w:noProof/>
          </w:rPr>
          <w:fldChar w:fldCharType="begin"/>
        </w:r>
        <w:r w:rsidR="00E245DD" w:rsidRPr="00510AD0">
          <w:rPr>
            <w:noProof/>
          </w:rPr>
          <w:instrText xml:space="preserve"> PAGEREF _Toc99035902 \h </w:instrText>
        </w:r>
        <w:r w:rsidR="00E245DD" w:rsidRPr="00510AD0">
          <w:rPr>
            <w:noProof/>
          </w:rPr>
        </w:r>
        <w:r w:rsidR="00E245DD" w:rsidRPr="00510AD0">
          <w:rPr>
            <w:noProof/>
          </w:rPr>
          <w:fldChar w:fldCharType="separate"/>
        </w:r>
        <w:r w:rsidR="0077573F" w:rsidRPr="00510AD0">
          <w:rPr>
            <w:noProof/>
          </w:rPr>
          <w:t>35</w:t>
        </w:r>
        <w:r w:rsidR="00E245DD" w:rsidRPr="00510AD0">
          <w:rPr>
            <w:noProof/>
          </w:rPr>
          <w:fldChar w:fldCharType="end"/>
        </w:r>
      </w:hyperlink>
    </w:p>
    <w:p w14:paraId="02A53926" w14:textId="63ED36F6" w:rsidR="00E245DD" w:rsidRPr="00510AD0" w:rsidRDefault="00A1254C" w:rsidP="005E6C80">
      <w:pPr>
        <w:pStyle w:val="TOC2"/>
        <w:rPr>
          <w:rFonts w:eastAsiaTheme="minorEastAsia"/>
          <w:noProof/>
          <w:sz w:val="22"/>
          <w:szCs w:val="22"/>
        </w:rPr>
      </w:pPr>
      <w:hyperlink w:anchor="_Toc99035903" w:history="1">
        <w:r w:rsidR="00E245DD" w:rsidRPr="00510AD0">
          <w:rPr>
            <w:rStyle w:val="Hyperlink"/>
            <w:noProof/>
            <w:specVanish/>
          </w:rPr>
          <w:t>19.1</w:t>
        </w:r>
        <w:r w:rsidR="00E245DD" w:rsidRPr="00510AD0">
          <w:rPr>
            <w:rFonts w:eastAsiaTheme="minorEastAsia"/>
            <w:noProof/>
            <w:sz w:val="22"/>
            <w:szCs w:val="22"/>
          </w:rPr>
          <w:tab/>
        </w:r>
        <w:r w:rsidR="00E245DD" w:rsidRPr="00510AD0">
          <w:rPr>
            <w:rStyle w:val="Hyperlink"/>
            <w:noProof/>
          </w:rPr>
          <w:t>Confidential Information</w:t>
        </w:r>
        <w:r w:rsidR="00E245DD" w:rsidRPr="00510AD0">
          <w:rPr>
            <w:noProof/>
          </w:rPr>
          <w:tab/>
        </w:r>
        <w:r w:rsidR="00E245DD" w:rsidRPr="00510AD0">
          <w:rPr>
            <w:noProof/>
          </w:rPr>
          <w:fldChar w:fldCharType="begin"/>
        </w:r>
        <w:r w:rsidR="00E245DD" w:rsidRPr="00510AD0">
          <w:rPr>
            <w:noProof/>
          </w:rPr>
          <w:instrText xml:space="preserve"> PAGEREF _Toc99035903 \h </w:instrText>
        </w:r>
        <w:r w:rsidR="00E245DD" w:rsidRPr="00510AD0">
          <w:rPr>
            <w:noProof/>
          </w:rPr>
        </w:r>
        <w:r w:rsidR="00E245DD" w:rsidRPr="00510AD0">
          <w:rPr>
            <w:noProof/>
          </w:rPr>
          <w:fldChar w:fldCharType="separate"/>
        </w:r>
        <w:r w:rsidR="0077573F" w:rsidRPr="00510AD0">
          <w:rPr>
            <w:noProof/>
          </w:rPr>
          <w:t>35</w:t>
        </w:r>
        <w:r w:rsidR="00E245DD" w:rsidRPr="00510AD0">
          <w:rPr>
            <w:noProof/>
          </w:rPr>
          <w:fldChar w:fldCharType="end"/>
        </w:r>
      </w:hyperlink>
    </w:p>
    <w:p w14:paraId="178E1BEF" w14:textId="125317EC" w:rsidR="00E245DD" w:rsidRPr="00510AD0" w:rsidRDefault="00A1254C" w:rsidP="005E6C80">
      <w:pPr>
        <w:pStyle w:val="TOC2"/>
        <w:rPr>
          <w:rFonts w:eastAsiaTheme="minorEastAsia"/>
          <w:noProof/>
          <w:sz w:val="22"/>
          <w:szCs w:val="22"/>
        </w:rPr>
      </w:pPr>
      <w:hyperlink w:anchor="_Toc99035904" w:history="1">
        <w:r w:rsidR="00E245DD" w:rsidRPr="00510AD0">
          <w:rPr>
            <w:rStyle w:val="Hyperlink"/>
            <w:noProof/>
            <w:specVanish/>
          </w:rPr>
          <w:t>19.2</w:t>
        </w:r>
        <w:r w:rsidR="00E245DD" w:rsidRPr="00510AD0">
          <w:rPr>
            <w:rFonts w:eastAsiaTheme="minorEastAsia"/>
            <w:noProof/>
            <w:sz w:val="22"/>
            <w:szCs w:val="22"/>
          </w:rPr>
          <w:tab/>
        </w:r>
        <w:r w:rsidR="00E245DD" w:rsidRPr="00510AD0">
          <w:rPr>
            <w:rStyle w:val="Hyperlink"/>
            <w:noProof/>
          </w:rPr>
          <w:t>Permitted Disclosures</w:t>
        </w:r>
        <w:r w:rsidR="00E245DD" w:rsidRPr="00510AD0">
          <w:rPr>
            <w:noProof/>
          </w:rPr>
          <w:tab/>
        </w:r>
        <w:r w:rsidR="00E245DD" w:rsidRPr="00510AD0">
          <w:rPr>
            <w:noProof/>
          </w:rPr>
          <w:fldChar w:fldCharType="begin"/>
        </w:r>
        <w:r w:rsidR="00E245DD" w:rsidRPr="00510AD0">
          <w:rPr>
            <w:noProof/>
          </w:rPr>
          <w:instrText xml:space="preserve"> PAGEREF _Toc99035904 \h </w:instrText>
        </w:r>
        <w:r w:rsidR="00E245DD" w:rsidRPr="00510AD0">
          <w:rPr>
            <w:noProof/>
          </w:rPr>
        </w:r>
        <w:r w:rsidR="00E245DD" w:rsidRPr="00510AD0">
          <w:rPr>
            <w:noProof/>
          </w:rPr>
          <w:fldChar w:fldCharType="separate"/>
        </w:r>
        <w:r w:rsidR="0077573F" w:rsidRPr="00510AD0">
          <w:rPr>
            <w:noProof/>
          </w:rPr>
          <w:t>35</w:t>
        </w:r>
        <w:r w:rsidR="00E245DD" w:rsidRPr="00510AD0">
          <w:rPr>
            <w:noProof/>
          </w:rPr>
          <w:fldChar w:fldCharType="end"/>
        </w:r>
      </w:hyperlink>
    </w:p>
    <w:p w14:paraId="41D24AFC" w14:textId="4D0F4556" w:rsidR="00E245DD" w:rsidRPr="00510AD0" w:rsidRDefault="00A1254C" w:rsidP="005E6C80">
      <w:pPr>
        <w:pStyle w:val="TOC2"/>
        <w:rPr>
          <w:rFonts w:eastAsiaTheme="minorEastAsia"/>
          <w:noProof/>
          <w:sz w:val="22"/>
          <w:szCs w:val="22"/>
        </w:rPr>
      </w:pPr>
      <w:hyperlink w:anchor="_Toc99035905" w:history="1">
        <w:r w:rsidR="00E245DD" w:rsidRPr="00510AD0">
          <w:rPr>
            <w:rStyle w:val="Hyperlink"/>
            <w:noProof/>
            <w:specVanish/>
          </w:rPr>
          <w:t>19.3</w:t>
        </w:r>
        <w:r w:rsidR="00E245DD" w:rsidRPr="00510AD0">
          <w:rPr>
            <w:rFonts w:eastAsiaTheme="minorEastAsia"/>
            <w:noProof/>
            <w:sz w:val="22"/>
            <w:szCs w:val="22"/>
          </w:rPr>
          <w:tab/>
        </w:r>
        <w:r w:rsidR="00E245DD" w:rsidRPr="00510AD0">
          <w:rPr>
            <w:rStyle w:val="Hyperlink"/>
            <w:noProof/>
          </w:rPr>
          <w:t>Remedies</w:t>
        </w:r>
        <w:r w:rsidR="00E245DD" w:rsidRPr="00510AD0">
          <w:rPr>
            <w:noProof/>
          </w:rPr>
          <w:tab/>
        </w:r>
        <w:r w:rsidR="00E245DD" w:rsidRPr="00510AD0">
          <w:rPr>
            <w:noProof/>
          </w:rPr>
          <w:fldChar w:fldCharType="begin"/>
        </w:r>
        <w:r w:rsidR="00E245DD" w:rsidRPr="00510AD0">
          <w:rPr>
            <w:noProof/>
          </w:rPr>
          <w:instrText xml:space="preserve"> PAGEREF _Toc99035905 \h </w:instrText>
        </w:r>
        <w:r w:rsidR="00E245DD" w:rsidRPr="00510AD0">
          <w:rPr>
            <w:noProof/>
          </w:rPr>
        </w:r>
        <w:r w:rsidR="00E245DD" w:rsidRPr="00510AD0">
          <w:rPr>
            <w:noProof/>
          </w:rPr>
          <w:fldChar w:fldCharType="separate"/>
        </w:r>
        <w:r w:rsidR="0077573F" w:rsidRPr="00510AD0">
          <w:rPr>
            <w:noProof/>
          </w:rPr>
          <w:t>36</w:t>
        </w:r>
        <w:r w:rsidR="00E245DD" w:rsidRPr="00510AD0">
          <w:rPr>
            <w:noProof/>
          </w:rPr>
          <w:fldChar w:fldCharType="end"/>
        </w:r>
      </w:hyperlink>
    </w:p>
    <w:p w14:paraId="3B938801" w14:textId="2FD4ABED" w:rsidR="00E245DD" w:rsidRPr="00510AD0" w:rsidRDefault="00A1254C" w:rsidP="005E6C80">
      <w:pPr>
        <w:pStyle w:val="TOC2"/>
        <w:rPr>
          <w:rFonts w:eastAsiaTheme="minorEastAsia"/>
          <w:noProof/>
          <w:sz w:val="22"/>
          <w:szCs w:val="22"/>
        </w:rPr>
      </w:pPr>
      <w:hyperlink w:anchor="_Toc99035906" w:history="1">
        <w:r w:rsidR="00E245DD" w:rsidRPr="00510AD0">
          <w:rPr>
            <w:rStyle w:val="Hyperlink"/>
            <w:noProof/>
            <w:specVanish/>
          </w:rPr>
          <w:t>19.4</w:t>
        </w:r>
        <w:r w:rsidR="00E245DD" w:rsidRPr="00510AD0">
          <w:rPr>
            <w:rFonts w:eastAsiaTheme="minorEastAsia"/>
            <w:noProof/>
            <w:sz w:val="22"/>
            <w:szCs w:val="22"/>
          </w:rPr>
          <w:tab/>
        </w:r>
        <w:r w:rsidR="00E245DD" w:rsidRPr="00510AD0">
          <w:rPr>
            <w:rStyle w:val="Hyperlink"/>
            <w:noProof/>
          </w:rPr>
          <w:t>Exceptions</w:t>
        </w:r>
        <w:r w:rsidR="00E245DD" w:rsidRPr="00510AD0">
          <w:rPr>
            <w:noProof/>
          </w:rPr>
          <w:tab/>
        </w:r>
        <w:r w:rsidR="00E245DD" w:rsidRPr="00510AD0">
          <w:rPr>
            <w:noProof/>
          </w:rPr>
          <w:fldChar w:fldCharType="begin"/>
        </w:r>
        <w:r w:rsidR="00E245DD" w:rsidRPr="00510AD0">
          <w:rPr>
            <w:noProof/>
          </w:rPr>
          <w:instrText xml:space="preserve"> PAGEREF _Toc99035906 \h </w:instrText>
        </w:r>
        <w:r w:rsidR="00E245DD" w:rsidRPr="00510AD0">
          <w:rPr>
            <w:noProof/>
          </w:rPr>
        </w:r>
        <w:r w:rsidR="00E245DD" w:rsidRPr="00510AD0">
          <w:rPr>
            <w:noProof/>
          </w:rPr>
          <w:fldChar w:fldCharType="separate"/>
        </w:r>
        <w:r w:rsidR="0077573F" w:rsidRPr="00510AD0">
          <w:rPr>
            <w:noProof/>
          </w:rPr>
          <w:t>36</w:t>
        </w:r>
        <w:r w:rsidR="00E245DD" w:rsidRPr="00510AD0">
          <w:rPr>
            <w:noProof/>
          </w:rPr>
          <w:fldChar w:fldCharType="end"/>
        </w:r>
      </w:hyperlink>
    </w:p>
    <w:p w14:paraId="25D55BC4" w14:textId="6AD414ED" w:rsidR="00E245DD" w:rsidRPr="00510AD0" w:rsidRDefault="00A1254C" w:rsidP="005E6C80">
      <w:pPr>
        <w:pStyle w:val="TOC2"/>
        <w:rPr>
          <w:rFonts w:eastAsiaTheme="minorEastAsia"/>
          <w:noProof/>
          <w:sz w:val="22"/>
          <w:szCs w:val="22"/>
        </w:rPr>
      </w:pPr>
      <w:hyperlink w:anchor="_Toc99035907" w:history="1">
        <w:r w:rsidR="00E245DD" w:rsidRPr="00510AD0">
          <w:rPr>
            <w:rStyle w:val="Hyperlink"/>
            <w:noProof/>
            <w:specVanish/>
          </w:rPr>
          <w:t>19.5</w:t>
        </w:r>
        <w:r w:rsidR="00E245DD" w:rsidRPr="00510AD0">
          <w:rPr>
            <w:rFonts w:eastAsiaTheme="minorEastAsia"/>
            <w:noProof/>
            <w:sz w:val="22"/>
            <w:szCs w:val="22"/>
          </w:rPr>
          <w:tab/>
        </w:r>
        <w:r w:rsidR="00E245DD" w:rsidRPr="00510AD0">
          <w:rPr>
            <w:rStyle w:val="Hyperlink"/>
            <w:noProof/>
          </w:rPr>
          <w:t>Other Confidential Information</w:t>
        </w:r>
        <w:r w:rsidR="00E245DD" w:rsidRPr="00510AD0">
          <w:rPr>
            <w:noProof/>
          </w:rPr>
          <w:tab/>
        </w:r>
        <w:r w:rsidR="00E245DD" w:rsidRPr="00510AD0">
          <w:rPr>
            <w:noProof/>
          </w:rPr>
          <w:fldChar w:fldCharType="begin"/>
        </w:r>
        <w:r w:rsidR="00E245DD" w:rsidRPr="00510AD0">
          <w:rPr>
            <w:noProof/>
          </w:rPr>
          <w:instrText xml:space="preserve"> PAGEREF _Toc99035907 \h </w:instrText>
        </w:r>
        <w:r w:rsidR="00E245DD" w:rsidRPr="00510AD0">
          <w:rPr>
            <w:noProof/>
          </w:rPr>
        </w:r>
        <w:r w:rsidR="00E245DD" w:rsidRPr="00510AD0">
          <w:rPr>
            <w:noProof/>
          </w:rPr>
          <w:fldChar w:fldCharType="separate"/>
        </w:r>
        <w:r w:rsidR="0077573F" w:rsidRPr="00510AD0">
          <w:rPr>
            <w:noProof/>
          </w:rPr>
          <w:t>37</w:t>
        </w:r>
        <w:r w:rsidR="00E245DD" w:rsidRPr="00510AD0">
          <w:rPr>
            <w:noProof/>
          </w:rPr>
          <w:fldChar w:fldCharType="end"/>
        </w:r>
      </w:hyperlink>
    </w:p>
    <w:p w14:paraId="052E3A09" w14:textId="3022E2A0" w:rsidR="00E245DD" w:rsidRPr="00510AD0" w:rsidRDefault="00A1254C" w:rsidP="005E6C80">
      <w:pPr>
        <w:pStyle w:val="TOC1"/>
        <w:rPr>
          <w:rFonts w:eastAsiaTheme="minorEastAsia"/>
          <w:noProof/>
          <w:sz w:val="22"/>
          <w:szCs w:val="22"/>
        </w:rPr>
      </w:pPr>
      <w:hyperlink w:anchor="_Toc99035908" w:history="1">
        <w:r w:rsidR="00E245DD" w:rsidRPr="00510AD0">
          <w:rPr>
            <w:rStyle w:val="Hyperlink"/>
            <w:noProof/>
          </w:rPr>
          <w:t>Article Twenty</w:t>
        </w:r>
        <w:r w:rsidR="005E6C80" w:rsidRPr="00510AD0">
          <w:rPr>
            <w:rStyle w:val="Hyperlink"/>
            <w:noProof/>
          </w:rPr>
          <w:t xml:space="preserve"> </w:t>
        </w:r>
        <w:r w:rsidR="00E245DD" w:rsidRPr="00510AD0">
          <w:rPr>
            <w:rStyle w:val="Hyperlink"/>
            <w:noProof/>
          </w:rPr>
          <w:t>GENERAL PROVISIONS</w:t>
        </w:r>
        <w:r w:rsidR="00E245DD" w:rsidRPr="00510AD0">
          <w:rPr>
            <w:noProof/>
          </w:rPr>
          <w:tab/>
        </w:r>
        <w:r w:rsidR="00E245DD" w:rsidRPr="00510AD0">
          <w:rPr>
            <w:noProof/>
          </w:rPr>
          <w:fldChar w:fldCharType="begin"/>
        </w:r>
        <w:r w:rsidR="00E245DD" w:rsidRPr="00510AD0">
          <w:rPr>
            <w:noProof/>
          </w:rPr>
          <w:instrText xml:space="preserve"> PAGEREF _Toc99035908 \h </w:instrText>
        </w:r>
        <w:r w:rsidR="00E245DD" w:rsidRPr="00510AD0">
          <w:rPr>
            <w:noProof/>
          </w:rPr>
        </w:r>
        <w:r w:rsidR="00E245DD" w:rsidRPr="00510AD0">
          <w:rPr>
            <w:noProof/>
          </w:rPr>
          <w:fldChar w:fldCharType="separate"/>
        </w:r>
        <w:r w:rsidR="0077573F" w:rsidRPr="00510AD0">
          <w:rPr>
            <w:noProof/>
          </w:rPr>
          <w:t>37</w:t>
        </w:r>
        <w:r w:rsidR="00E245DD" w:rsidRPr="00510AD0">
          <w:rPr>
            <w:noProof/>
          </w:rPr>
          <w:fldChar w:fldCharType="end"/>
        </w:r>
      </w:hyperlink>
    </w:p>
    <w:p w14:paraId="597517DA" w14:textId="6EFB25BB" w:rsidR="00E245DD" w:rsidRPr="00510AD0" w:rsidRDefault="00A1254C" w:rsidP="005E6C80">
      <w:pPr>
        <w:pStyle w:val="TOC2"/>
        <w:rPr>
          <w:rFonts w:eastAsiaTheme="minorEastAsia"/>
          <w:noProof/>
          <w:sz w:val="22"/>
          <w:szCs w:val="22"/>
        </w:rPr>
      </w:pPr>
      <w:hyperlink w:anchor="_Toc99035909" w:history="1">
        <w:r w:rsidR="00E245DD" w:rsidRPr="00510AD0">
          <w:rPr>
            <w:rStyle w:val="Hyperlink"/>
            <w:noProof/>
            <w:specVanish/>
          </w:rPr>
          <w:t>20.1</w:t>
        </w:r>
        <w:r w:rsidR="00E245DD" w:rsidRPr="00510AD0">
          <w:rPr>
            <w:rFonts w:eastAsiaTheme="minorEastAsia"/>
            <w:noProof/>
            <w:sz w:val="22"/>
            <w:szCs w:val="22"/>
          </w:rPr>
          <w:tab/>
        </w:r>
        <w:r w:rsidR="00E245DD" w:rsidRPr="00510AD0">
          <w:rPr>
            <w:rStyle w:val="Hyperlink"/>
            <w:noProof/>
          </w:rPr>
          <w:t>General; Amendments</w:t>
        </w:r>
        <w:r w:rsidR="00E245DD" w:rsidRPr="00510AD0">
          <w:rPr>
            <w:noProof/>
          </w:rPr>
          <w:tab/>
        </w:r>
        <w:r w:rsidR="00E245DD" w:rsidRPr="00510AD0">
          <w:rPr>
            <w:noProof/>
          </w:rPr>
          <w:fldChar w:fldCharType="begin"/>
        </w:r>
        <w:r w:rsidR="00E245DD" w:rsidRPr="00510AD0">
          <w:rPr>
            <w:noProof/>
          </w:rPr>
          <w:instrText xml:space="preserve"> PAGEREF _Toc99035909 \h </w:instrText>
        </w:r>
        <w:r w:rsidR="00E245DD" w:rsidRPr="00510AD0">
          <w:rPr>
            <w:noProof/>
          </w:rPr>
        </w:r>
        <w:r w:rsidR="00E245DD" w:rsidRPr="00510AD0">
          <w:rPr>
            <w:noProof/>
          </w:rPr>
          <w:fldChar w:fldCharType="separate"/>
        </w:r>
        <w:r w:rsidR="0077573F" w:rsidRPr="00510AD0">
          <w:rPr>
            <w:noProof/>
          </w:rPr>
          <w:t>37</w:t>
        </w:r>
        <w:r w:rsidR="00E245DD" w:rsidRPr="00510AD0">
          <w:rPr>
            <w:noProof/>
          </w:rPr>
          <w:fldChar w:fldCharType="end"/>
        </w:r>
      </w:hyperlink>
    </w:p>
    <w:p w14:paraId="7C20E2F4" w14:textId="4FC09411" w:rsidR="00E245DD" w:rsidRPr="00510AD0" w:rsidRDefault="00A1254C" w:rsidP="005E6C80">
      <w:pPr>
        <w:pStyle w:val="TOC2"/>
        <w:rPr>
          <w:rFonts w:eastAsiaTheme="minorEastAsia"/>
          <w:noProof/>
          <w:sz w:val="22"/>
          <w:szCs w:val="22"/>
        </w:rPr>
      </w:pPr>
      <w:hyperlink w:anchor="_Toc99035910" w:history="1">
        <w:r w:rsidR="00E245DD" w:rsidRPr="00510AD0">
          <w:rPr>
            <w:rStyle w:val="Hyperlink"/>
            <w:noProof/>
            <w:specVanish/>
          </w:rPr>
          <w:t>20.2</w:t>
        </w:r>
        <w:r w:rsidR="00E245DD" w:rsidRPr="00510AD0">
          <w:rPr>
            <w:rFonts w:eastAsiaTheme="minorEastAsia"/>
            <w:noProof/>
            <w:sz w:val="22"/>
            <w:szCs w:val="22"/>
          </w:rPr>
          <w:tab/>
        </w:r>
        <w:r w:rsidR="00E245DD" w:rsidRPr="00510AD0">
          <w:rPr>
            <w:rStyle w:val="Hyperlink"/>
            <w:noProof/>
          </w:rPr>
          <w:t>Severability</w:t>
        </w:r>
        <w:r w:rsidR="00E245DD" w:rsidRPr="00510AD0">
          <w:rPr>
            <w:noProof/>
          </w:rPr>
          <w:tab/>
        </w:r>
        <w:r w:rsidR="00E245DD" w:rsidRPr="00510AD0">
          <w:rPr>
            <w:noProof/>
          </w:rPr>
          <w:fldChar w:fldCharType="begin"/>
        </w:r>
        <w:r w:rsidR="00E245DD" w:rsidRPr="00510AD0">
          <w:rPr>
            <w:noProof/>
          </w:rPr>
          <w:instrText xml:space="preserve"> PAGEREF _Toc99035910 \h </w:instrText>
        </w:r>
        <w:r w:rsidR="00E245DD" w:rsidRPr="00510AD0">
          <w:rPr>
            <w:noProof/>
          </w:rPr>
        </w:r>
        <w:r w:rsidR="00E245DD" w:rsidRPr="00510AD0">
          <w:rPr>
            <w:noProof/>
          </w:rPr>
          <w:fldChar w:fldCharType="separate"/>
        </w:r>
        <w:r w:rsidR="0077573F" w:rsidRPr="00510AD0">
          <w:rPr>
            <w:noProof/>
          </w:rPr>
          <w:t>37</w:t>
        </w:r>
        <w:r w:rsidR="00E245DD" w:rsidRPr="00510AD0">
          <w:rPr>
            <w:noProof/>
          </w:rPr>
          <w:fldChar w:fldCharType="end"/>
        </w:r>
      </w:hyperlink>
    </w:p>
    <w:p w14:paraId="14AFA5E7" w14:textId="6533C85F" w:rsidR="00E245DD" w:rsidRPr="00510AD0" w:rsidRDefault="00A1254C" w:rsidP="005E6C80">
      <w:pPr>
        <w:pStyle w:val="TOC2"/>
        <w:rPr>
          <w:rFonts w:eastAsiaTheme="minorEastAsia"/>
          <w:noProof/>
          <w:sz w:val="22"/>
          <w:szCs w:val="22"/>
        </w:rPr>
      </w:pPr>
      <w:hyperlink w:anchor="_Toc99035911" w:history="1">
        <w:r w:rsidR="00E245DD" w:rsidRPr="00510AD0">
          <w:rPr>
            <w:rStyle w:val="Hyperlink"/>
            <w:noProof/>
            <w:specVanish/>
          </w:rPr>
          <w:t>20.3</w:t>
        </w:r>
        <w:r w:rsidR="00E245DD" w:rsidRPr="00510AD0">
          <w:rPr>
            <w:rFonts w:eastAsiaTheme="minorEastAsia"/>
            <w:noProof/>
            <w:sz w:val="22"/>
            <w:szCs w:val="22"/>
          </w:rPr>
          <w:tab/>
        </w:r>
        <w:r w:rsidR="00E245DD" w:rsidRPr="00510AD0">
          <w:rPr>
            <w:rStyle w:val="Hyperlink"/>
            <w:noProof/>
          </w:rPr>
          <w:t>Counterparts</w:t>
        </w:r>
        <w:r w:rsidR="00E245DD" w:rsidRPr="00510AD0">
          <w:rPr>
            <w:noProof/>
          </w:rPr>
          <w:tab/>
        </w:r>
        <w:r w:rsidR="00E245DD" w:rsidRPr="00510AD0">
          <w:rPr>
            <w:noProof/>
          </w:rPr>
          <w:fldChar w:fldCharType="begin"/>
        </w:r>
        <w:r w:rsidR="00E245DD" w:rsidRPr="00510AD0">
          <w:rPr>
            <w:noProof/>
          </w:rPr>
          <w:instrText xml:space="preserve"> PAGEREF _Toc99035911 \h </w:instrText>
        </w:r>
        <w:r w:rsidR="00E245DD" w:rsidRPr="00510AD0">
          <w:rPr>
            <w:noProof/>
          </w:rPr>
        </w:r>
        <w:r w:rsidR="00E245DD" w:rsidRPr="00510AD0">
          <w:rPr>
            <w:noProof/>
          </w:rPr>
          <w:fldChar w:fldCharType="separate"/>
        </w:r>
        <w:r w:rsidR="0077573F" w:rsidRPr="00510AD0">
          <w:rPr>
            <w:noProof/>
          </w:rPr>
          <w:t>38</w:t>
        </w:r>
        <w:r w:rsidR="00E245DD" w:rsidRPr="00510AD0">
          <w:rPr>
            <w:noProof/>
          </w:rPr>
          <w:fldChar w:fldCharType="end"/>
        </w:r>
      </w:hyperlink>
    </w:p>
    <w:p w14:paraId="317C3AC1" w14:textId="1171953A" w:rsidR="00E245DD" w:rsidRPr="00510AD0" w:rsidRDefault="00A1254C" w:rsidP="005E6C80">
      <w:pPr>
        <w:pStyle w:val="TOC2"/>
        <w:rPr>
          <w:rFonts w:eastAsiaTheme="minorEastAsia"/>
          <w:noProof/>
          <w:sz w:val="22"/>
          <w:szCs w:val="22"/>
        </w:rPr>
      </w:pPr>
      <w:hyperlink w:anchor="_Toc99035912" w:history="1">
        <w:r w:rsidR="00E245DD" w:rsidRPr="00510AD0">
          <w:rPr>
            <w:rStyle w:val="Hyperlink"/>
            <w:noProof/>
            <w:specVanish/>
          </w:rPr>
          <w:t>20.4</w:t>
        </w:r>
        <w:r w:rsidR="00E245DD" w:rsidRPr="00510AD0">
          <w:rPr>
            <w:rFonts w:eastAsiaTheme="minorEastAsia"/>
            <w:noProof/>
            <w:sz w:val="22"/>
            <w:szCs w:val="22"/>
          </w:rPr>
          <w:tab/>
        </w:r>
        <w:r w:rsidR="00E245DD" w:rsidRPr="00510AD0">
          <w:rPr>
            <w:rStyle w:val="Hyperlink"/>
            <w:noProof/>
          </w:rPr>
          <w:t>Mobile Sierra</w:t>
        </w:r>
        <w:r w:rsidR="00E245DD" w:rsidRPr="00510AD0">
          <w:rPr>
            <w:noProof/>
          </w:rPr>
          <w:tab/>
        </w:r>
        <w:r w:rsidR="00E245DD" w:rsidRPr="00510AD0">
          <w:rPr>
            <w:noProof/>
          </w:rPr>
          <w:fldChar w:fldCharType="begin"/>
        </w:r>
        <w:r w:rsidR="00E245DD" w:rsidRPr="00510AD0">
          <w:rPr>
            <w:noProof/>
          </w:rPr>
          <w:instrText xml:space="preserve"> PAGEREF _Toc99035912 \h </w:instrText>
        </w:r>
        <w:r w:rsidR="00E245DD" w:rsidRPr="00510AD0">
          <w:rPr>
            <w:noProof/>
          </w:rPr>
        </w:r>
        <w:r w:rsidR="00E245DD" w:rsidRPr="00510AD0">
          <w:rPr>
            <w:noProof/>
          </w:rPr>
          <w:fldChar w:fldCharType="separate"/>
        </w:r>
        <w:r w:rsidR="0077573F" w:rsidRPr="00510AD0">
          <w:rPr>
            <w:noProof/>
          </w:rPr>
          <w:t>38</w:t>
        </w:r>
        <w:r w:rsidR="00E245DD" w:rsidRPr="00510AD0">
          <w:rPr>
            <w:noProof/>
          </w:rPr>
          <w:fldChar w:fldCharType="end"/>
        </w:r>
      </w:hyperlink>
    </w:p>
    <w:p w14:paraId="05E6BB8F" w14:textId="333CBA7C" w:rsidR="00E245DD" w:rsidRPr="00510AD0" w:rsidRDefault="00A1254C" w:rsidP="005E6C80">
      <w:pPr>
        <w:pStyle w:val="TOC2"/>
        <w:rPr>
          <w:rFonts w:eastAsiaTheme="minorEastAsia"/>
          <w:noProof/>
          <w:sz w:val="22"/>
          <w:szCs w:val="22"/>
        </w:rPr>
      </w:pPr>
      <w:hyperlink w:anchor="_Toc99035913" w:history="1">
        <w:r w:rsidR="00E245DD" w:rsidRPr="00510AD0">
          <w:rPr>
            <w:rStyle w:val="Hyperlink"/>
            <w:noProof/>
            <w:specVanish/>
          </w:rPr>
          <w:t>20.5</w:t>
        </w:r>
        <w:r w:rsidR="00E245DD" w:rsidRPr="00510AD0">
          <w:rPr>
            <w:rFonts w:eastAsiaTheme="minorEastAsia"/>
            <w:noProof/>
            <w:sz w:val="22"/>
            <w:szCs w:val="22"/>
          </w:rPr>
          <w:tab/>
        </w:r>
        <w:r w:rsidR="00E245DD" w:rsidRPr="00510AD0">
          <w:rPr>
            <w:rStyle w:val="Hyperlink"/>
            <w:noProof/>
          </w:rPr>
          <w:t>Interpretation</w:t>
        </w:r>
        <w:r w:rsidR="00E245DD" w:rsidRPr="00510AD0">
          <w:rPr>
            <w:noProof/>
          </w:rPr>
          <w:tab/>
        </w:r>
        <w:r w:rsidR="00E245DD" w:rsidRPr="00510AD0">
          <w:rPr>
            <w:noProof/>
          </w:rPr>
          <w:fldChar w:fldCharType="begin"/>
        </w:r>
        <w:r w:rsidR="00E245DD" w:rsidRPr="00510AD0">
          <w:rPr>
            <w:noProof/>
          </w:rPr>
          <w:instrText xml:space="preserve"> PAGEREF _Toc99035913 \h </w:instrText>
        </w:r>
        <w:r w:rsidR="00E245DD" w:rsidRPr="00510AD0">
          <w:rPr>
            <w:noProof/>
          </w:rPr>
        </w:r>
        <w:r w:rsidR="00E245DD" w:rsidRPr="00510AD0">
          <w:rPr>
            <w:noProof/>
          </w:rPr>
          <w:fldChar w:fldCharType="separate"/>
        </w:r>
        <w:r w:rsidR="0077573F" w:rsidRPr="00510AD0">
          <w:rPr>
            <w:noProof/>
          </w:rPr>
          <w:t>38</w:t>
        </w:r>
        <w:r w:rsidR="00E245DD" w:rsidRPr="00510AD0">
          <w:rPr>
            <w:noProof/>
          </w:rPr>
          <w:fldChar w:fldCharType="end"/>
        </w:r>
      </w:hyperlink>
    </w:p>
    <w:p w14:paraId="7FB60E53" w14:textId="541B8A7E" w:rsidR="00E245DD" w:rsidRPr="00510AD0" w:rsidRDefault="00A1254C" w:rsidP="005E6C80">
      <w:pPr>
        <w:pStyle w:val="TOC2"/>
        <w:rPr>
          <w:rFonts w:eastAsiaTheme="minorEastAsia"/>
          <w:noProof/>
          <w:sz w:val="22"/>
          <w:szCs w:val="22"/>
        </w:rPr>
      </w:pPr>
      <w:hyperlink w:anchor="_Toc99035914" w:history="1">
        <w:r w:rsidR="00E245DD" w:rsidRPr="00510AD0">
          <w:rPr>
            <w:rStyle w:val="Hyperlink"/>
            <w:noProof/>
            <w:specVanish/>
          </w:rPr>
          <w:t>20.6</w:t>
        </w:r>
        <w:r w:rsidR="00E245DD" w:rsidRPr="00510AD0">
          <w:rPr>
            <w:rFonts w:eastAsiaTheme="minorEastAsia"/>
            <w:noProof/>
            <w:sz w:val="22"/>
            <w:szCs w:val="22"/>
          </w:rPr>
          <w:tab/>
        </w:r>
        <w:r w:rsidR="00E245DD" w:rsidRPr="00510AD0">
          <w:rPr>
            <w:rStyle w:val="Hyperlink"/>
            <w:noProof/>
          </w:rPr>
          <w:t>Recordings</w:t>
        </w:r>
        <w:r w:rsidR="00E245DD" w:rsidRPr="00510AD0">
          <w:rPr>
            <w:noProof/>
          </w:rPr>
          <w:tab/>
        </w:r>
        <w:r w:rsidR="00E245DD" w:rsidRPr="00510AD0">
          <w:rPr>
            <w:noProof/>
          </w:rPr>
          <w:fldChar w:fldCharType="begin"/>
        </w:r>
        <w:r w:rsidR="00E245DD" w:rsidRPr="00510AD0">
          <w:rPr>
            <w:noProof/>
          </w:rPr>
          <w:instrText xml:space="preserve"> PAGEREF _Toc99035914 \h </w:instrText>
        </w:r>
        <w:r w:rsidR="00E245DD" w:rsidRPr="00510AD0">
          <w:rPr>
            <w:noProof/>
          </w:rPr>
        </w:r>
        <w:r w:rsidR="00E245DD" w:rsidRPr="00510AD0">
          <w:rPr>
            <w:noProof/>
          </w:rPr>
          <w:fldChar w:fldCharType="separate"/>
        </w:r>
        <w:r w:rsidR="0077573F" w:rsidRPr="00510AD0">
          <w:rPr>
            <w:noProof/>
          </w:rPr>
          <w:t>39</w:t>
        </w:r>
        <w:r w:rsidR="00E245DD" w:rsidRPr="00510AD0">
          <w:rPr>
            <w:noProof/>
          </w:rPr>
          <w:fldChar w:fldCharType="end"/>
        </w:r>
      </w:hyperlink>
    </w:p>
    <w:p w14:paraId="06507AE5" w14:textId="08D67AD5" w:rsidR="00E245DD" w:rsidRPr="00510AD0" w:rsidRDefault="00A1254C" w:rsidP="005E6C80">
      <w:pPr>
        <w:pStyle w:val="TOC2"/>
        <w:rPr>
          <w:rFonts w:eastAsiaTheme="minorEastAsia"/>
          <w:noProof/>
          <w:sz w:val="22"/>
          <w:szCs w:val="22"/>
        </w:rPr>
      </w:pPr>
      <w:hyperlink w:anchor="_Toc99035915" w:history="1">
        <w:r w:rsidR="00E245DD" w:rsidRPr="00510AD0">
          <w:rPr>
            <w:rStyle w:val="Hyperlink"/>
            <w:noProof/>
            <w:specVanish/>
          </w:rPr>
          <w:t>20.7</w:t>
        </w:r>
        <w:r w:rsidR="00E245DD" w:rsidRPr="00510AD0">
          <w:rPr>
            <w:rFonts w:eastAsiaTheme="minorEastAsia"/>
            <w:noProof/>
            <w:sz w:val="22"/>
            <w:szCs w:val="22"/>
          </w:rPr>
          <w:tab/>
        </w:r>
        <w:r w:rsidR="00E245DD" w:rsidRPr="00510AD0">
          <w:rPr>
            <w:rStyle w:val="Hyperlink"/>
            <w:noProof/>
          </w:rPr>
          <w:t>Authorized Representatives</w:t>
        </w:r>
        <w:r w:rsidR="00E245DD" w:rsidRPr="00510AD0">
          <w:rPr>
            <w:noProof/>
          </w:rPr>
          <w:tab/>
        </w:r>
        <w:r w:rsidR="00E245DD" w:rsidRPr="00510AD0">
          <w:rPr>
            <w:noProof/>
          </w:rPr>
          <w:fldChar w:fldCharType="begin"/>
        </w:r>
        <w:r w:rsidR="00E245DD" w:rsidRPr="00510AD0">
          <w:rPr>
            <w:noProof/>
          </w:rPr>
          <w:instrText xml:space="preserve"> PAGEREF _Toc99035915 \h </w:instrText>
        </w:r>
        <w:r w:rsidR="00E245DD" w:rsidRPr="00510AD0">
          <w:rPr>
            <w:noProof/>
          </w:rPr>
        </w:r>
        <w:r w:rsidR="00E245DD" w:rsidRPr="00510AD0">
          <w:rPr>
            <w:noProof/>
          </w:rPr>
          <w:fldChar w:fldCharType="separate"/>
        </w:r>
        <w:r w:rsidR="0077573F" w:rsidRPr="00510AD0">
          <w:rPr>
            <w:noProof/>
          </w:rPr>
          <w:t>39</w:t>
        </w:r>
        <w:r w:rsidR="00E245DD" w:rsidRPr="00510AD0">
          <w:rPr>
            <w:noProof/>
          </w:rPr>
          <w:fldChar w:fldCharType="end"/>
        </w:r>
      </w:hyperlink>
    </w:p>
    <w:p w14:paraId="588756AA" w14:textId="0E9AE385" w:rsidR="00E245DD" w:rsidRPr="00510AD0" w:rsidRDefault="00A1254C" w:rsidP="005E6C80">
      <w:pPr>
        <w:pStyle w:val="TOC2"/>
        <w:rPr>
          <w:rFonts w:eastAsiaTheme="minorEastAsia"/>
          <w:noProof/>
          <w:sz w:val="22"/>
          <w:szCs w:val="22"/>
        </w:rPr>
      </w:pPr>
      <w:hyperlink w:anchor="_Toc99035916" w:history="1">
        <w:r w:rsidR="00E245DD" w:rsidRPr="00510AD0">
          <w:rPr>
            <w:rStyle w:val="Hyperlink"/>
            <w:noProof/>
            <w:specVanish/>
          </w:rPr>
          <w:t>20.8</w:t>
        </w:r>
        <w:r w:rsidR="00E245DD" w:rsidRPr="00510AD0">
          <w:rPr>
            <w:rFonts w:eastAsiaTheme="minorEastAsia"/>
            <w:noProof/>
            <w:sz w:val="22"/>
            <w:szCs w:val="22"/>
          </w:rPr>
          <w:tab/>
        </w:r>
        <w:r w:rsidR="00E245DD" w:rsidRPr="00510AD0">
          <w:rPr>
            <w:rStyle w:val="Hyperlink"/>
            <w:noProof/>
          </w:rPr>
          <w:t>No Dedication</w:t>
        </w:r>
        <w:r w:rsidR="00E245DD" w:rsidRPr="00510AD0">
          <w:rPr>
            <w:noProof/>
          </w:rPr>
          <w:tab/>
        </w:r>
        <w:r w:rsidR="00E245DD" w:rsidRPr="00510AD0">
          <w:rPr>
            <w:noProof/>
          </w:rPr>
          <w:fldChar w:fldCharType="begin"/>
        </w:r>
        <w:r w:rsidR="00E245DD" w:rsidRPr="00510AD0">
          <w:rPr>
            <w:noProof/>
          </w:rPr>
          <w:instrText xml:space="preserve"> PAGEREF _Toc99035916 \h </w:instrText>
        </w:r>
        <w:r w:rsidR="00E245DD" w:rsidRPr="00510AD0">
          <w:rPr>
            <w:noProof/>
          </w:rPr>
        </w:r>
        <w:r w:rsidR="00E245DD" w:rsidRPr="00510AD0">
          <w:rPr>
            <w:noProof/>
          </w:rPr>
          <w:fldChar w:fldCharType="separate"/>
        </w:r>
        <w:r w:rsidR="0077573F" w:rsidRPr="00510AD0">
          <w:rPr>
            <w:noProof/>
          </w:rPr>
          <w:t>40</w:t>
        </w:r>
        <w:r w:rsidR="00E245DD" w:rsidRPr="00510AD0">
          <w:rPr>
            <w:noProof/>
          </w:rPr>
          <w:fldChar w:fldCharType="end"/>
        </w:r>
      </w:hyperlink>
    </w:p>
    <w:p w14:paraId="5B14AFCB" w14:textId="67171438" w:rsidR="00E245DD" w:rsidRPr="00510AD0" w:rsidRDefault="00A1254C" w:rsidP="005E6C80">
      <w:pPr>
        <w:pStyle w:val="TOC2"/>
        <w:rPr>
          <w:rFonts w:eastAsiaTheme="minorEastAsia"/>
          <w:noProof/>
          <w:sz w:val="22"/>
          <w:szCs w:val="22"/>
        </w:rPr>
      </w:pPr>
      <w:hyperlink w:anchor="_Toc99035917" w:history="1">
        <w:r w:rsidR="00E245DD" w:rsidRPr="00510AD0">
          <w:rPr>
            <w:rStyle w:val="Hyperlink"/>
            <w:noProof/>
            <w:specVanish/>
          </w:rPr>
          <w:t>20.9</w:t>
        </w:r>
        <w:r w:rsidR="00E245DD" w:rsidRPr="00510AD0">
          <w:rPr>
            <w:rFonts w:eastAsiaTheme="minorEastAsia"/>
            <w:noProof/>
            <w:sz w:val="22"/>
            <w:szCs w:val="22"/>
          </w:rPr>
          <w:tab/>
        </w:r>
        <w:r w:rsidR="00E245DD" w:rsidRPr="00510AD0">
          <w:rPr>
            <w:rStyle w:val="Hyperlink"/>
            <w:noProof/>
          </w:rPr>
          <w:t>Governing Law</w:t>
        </w:r>
        <w:r w:rsidR="00E245DD" w:rsidRPr="00510AD0">
          <w:rPr>
            <w:noProof/>
          </w:rPr>
          <w:tab/>
        </w:r>
        <w:r w:rsidR="00E245DD" w:rsidRPr="00510AD0">
          <w:rPr>
            <w:noProof/>
          </w:rPr>
          <w:fldChar w:fldCharType="begin"/>
        </w:r>
        <w:r w:rsidR="00E245DD" w:rsidRPr="00510AD0">
          <w:rPr>
            <w:noProof/>
          </w:rPr>
          <w:instrText xml:space="preserve"> PAGEREF _Toc99035917 \h </w:instrText>
        </w:r>
        <w:r w:rsidR="00E245DD" w:rsidRPr="00510AD0">
          <w:rPr>
            <w:noProof/>
          </w:rPr>
        </w:r>
        <w:r w:rsidR="00E245DD" w:rsidRPr="00510AD0">
          <w:rPr>
            <w:noProof/>
          </w:rPr>
          <w:fldChar w:fldCharType="separate"/>
        </w:r>
        <w:r w:rsidR="0077573F" w:rsidRPr="00510AD0">
          <w:rPr>
            <w:noProof/>
          </w:rPr>
          <w:t>40</w:t>
        </w:r>
        <w:r w:rsidR="00E245DD" w:rsidRPr="00510AD0">
          <w:rPr>
            <w:noProof/>
          </w:rPr>
          <w:fldChar w:fldCharType="end"/>
        </w:r>
      </w:hyperlink>
    </w:p>
    <w:p w14:paraId="43A8D823" w14:textId="4D46DB58" w:rsidR="00E245DD" w:rsidRPr="00510AD0" w:rsidRDefault="00A1254C" w:rsidP="005E6C80">
      <w:pPr>
        <w:pStyle w:val="TOC2"/>
        <w:rPr>
          <w:rFonts w:eastAsiaTheme="minorEastAsia"/>
          <w:noProof/>
          <w:sz w:val="22"/>
          <w:szCs w:val="22"/>
        </w:rPr>
      </w:pPr>
      <w:hyperlink w:anchor="_Toc99035918" w:history="1">
        <w:r w:rsidR="00E245DD" w:rsidRPr="00510AD0">
          <w:rPr>
            <w:rStyle w:val="Hyperlink"/>
            <w:noProof/>
            <w:specVanish/>
          </w:rPr>
          <w:t>20.10</w:t>
        </w:r>
        <w:r w:rsidR="00E245DD" w:rsidRPr="00510AD0">
          <w:rPr>
            <w:rFonts w:eastAsiaTheme="minorEastAsia"/>
            <w:noProof/>
            <w:sz w:val="22"/>
            <w:szCs w:val="22"/>
          </w:rPr>
          <w:tab/>
        </w:r>
        <w:r w:rsidR="00E245DD" w:rsidRPr="00510AD0">
          <w:rPr>
            <w:rStyle w:val="Hyperlink"/>
            <w:noProof/>
          </w:rPr>
          <w:t>Separation of Functions</w:t>
        </w:r>
        <w:r w:rsidR="00E245DD" w:rsidRPr="00510AD0">
          <w:rPr>
            <w:noProof/>
          </w:rPr>
          <w:tab/>
        </w:r>
        <w:r w:rsidR="00E245DD" w:rsidRPr="00510AD0">
          <w:rPr>
            <w:noProof/>
          </w:rPr>
          <w:fldChar w:fldCharType="begin"/>
        </w:r>
        <w:r w:rsidR="00E245DD" w:rsidRPr="00510AD0">
          <w:rPr>
            <w:noProof/>
          </w:rPr>
          <w:instrText xml:space="preserve"> PAGEREF _Toc99035918 \h </w:instrText>
        </w:r>
        <w:r w:rsidR="00E245DD" w:rsidRPr="00510AD0">
          <w:rPr>
            <w:noProof/>
          </w:rPr>
        </w:r>
        <w:r w:rsidR="00E245DD" w:rsidRPr="00510AD0">
          <w:rPr>
            <w:noProof/>
          </w:rPr>
          <w:fldChar w:fldCharType="separate"/>
        </w:r>
        <w:r w:rsidR="0077573F" w:rsidRPr="00510AD0">
          <w:rPr>
            <w:noProof/>
          </w:rPr>
          <w:t>40</w:t>
        </w:r>
        <w:r w:rsidR="00E245DD" w:rsidRPr="00510AD0">
          <w:rPr>
            <w:noProof/>
          </w:rPr>
          <w:fldChar w:fldCharType="end"/>
        </w:r>
      </w:hyperlink>
    </w:p>
    <w:p w14:paraId="3F7884F1" w14:textId="390DA612" w:rsidR="00E245DD" w:rsidRPr="00510AD0" w:rsidRDefault="00A1254C" w:rsidP="005E6C80">
      <w:pPr>
        <w:pStyle w:val="TOC1"/>
        <w:rPr>
          <w:rFonts w:eastAsiaTheme="minorEastAsia"/>
          <w:noProof/>
          <w:sz w:val="22"/>
          <w:szCs w:val="22"/>
        </w:rPr>
      </w:pPr>
      <w:hyperlink w:anchor="_Toc99035919" w:history="1">
        <w:r w:rsidR="00E245DD" w:rsidRPr="00510AD0">
          <w:rPr>
            <w:rStyle w:val="Hyperlink"/>
            <w:noProof/>
          </w:rPr>
          <w:t>Article Twenty-one</w:t>
        </w:r>
        <w:r w:rsidR="005E6C80" w:rsidRPr="00510AD0">
          <w:rPr>
            <w:rStyle w:val="Hyperlink"/>
            <w:noProof/>
          </w:rPr>
          <w:t xml:space="preserve"> </w:t>
        </w:r>
        <w:r w:rsidR="00E245DD" w:rsidRPr="00510AD0">
          <w:rPr>
            <w:rStyle w:val="Hyperlink"/>
            <w:noProof/>
          </w:rPr>
          <w:t>NOTICES</w:t>
        </w:r>
        <w:r w:rsidR="00E245DD" w:rsidRPr="00510AD0">
          <w:rPr>
            <w:noProof/>
          </w:rPr>
          <w:tab/>
        </w:r>
        <w:r w:rsidR="00E245DD" w:rsidRPr="00510AD0">
          <w:rPr>
            <w:noProof/>
          </w:rPr>
          <w:fldChar w:fldCharType="begin"/>
        </w:r>
        <w:r w:rsidR="00E245DD" w:rsidRPr="00510AD0">
          <w:rPr>
            <w:noProof/>
          </w:rPr>
          <w:instrText xml:space="preserve"> PAGEREF _Toc99035919 \h </w:instrText>
        </w:r>
        <w:r w:rsidR="00E245DD" w:rsidRPr="00510AD0">
          <w:rPr>
            <w:noProof/>
          </w:rPr>
        </w:r>
        <w:r w:rsidR="00E245DD" w:rsidRPr="00510AD0">
          <w:rPr>
            <w:noProof/>
          </w:rPr>
          <w:fldChar w:fldCharType="separate"/>
        </w:r>
        <w:r w:rsidR="0077573F" w:rsidRPr="00510AD0">
          <w:rPr>
            <w:noProof/>
          </w:rPr>
          <w:t>40</w:t>
        </w:r>
        <w:r w:rsidR="00E245DD" w:rsidRPr="00510AD0">
          <w:rPr>
            <w:noProof/>
          </w:rPr>
          <w:fldChar w:fldCharType="end"/>
        </w:r>
      </w:hyperlink>
    </w:p>
    <w:p w14:paraId="0D90DD4F" w14:textId="5849C556" w:rsidR="00E245DD" w:rsidRPr="00510AD0" w:rsidRDefault="00A1254C" w:rsidP="005E6C80">
      <w:pPr>
        <w:pStyle w:val="TOC2"/>
        <w:rPr>
          <w:rFonts w:eastAsiaTheme="minorEastAsia"/>
          <w:noProof/>
          <w:sz w:val="22"/>
          <w:szCs w:val="22"/>
        </w:rPr>
      </w:pPr>
      <w:hyperlink w:anchor="_Toc99035920" w:history="1">
        <w:r w:rsidR="00E245DD" w:rsidRPr="00510AD0">
          <w:rPr>
            <w:rStyle w:val="Hyperlink"/>
            <w:noProof/>
            <w:specVanish/>
          </w:rPr>
          <w:t>21.1</w:t>
        </w:r>
        <w:r w:rsidR="00E245DD" w:rsidRPr="00510AD0">
          <w:rPr>
            <w:rFonts w:eastAsiaTheme="minorEastAsia"/>
            <w:noProof/>
            <w:sz w:val="22"/>
            <w:szCs w:val="22"/>
          </w:rPr>
          <w:tab/>
        </w:r>
        <w:r w:rsidR="00E245DD" w:rsidRPr="00510AD0">
          <w:rPr>
            <w:rStyle w:val="Hyperlink"/>
            <w:noProof/>
          </w:rPr>
          <w:t>Notices</w:t>
        </w:r>
        <w:r w:rsidR="00E245DD" w:rsidRPr="00510AD0">
          <w:rPr>
            <w:noProof/>
          </w:rPr>
          <w:tab/>
        </w:r>
        <w:r w:rsidR="00E245DD" w:rsidRPr="00510AD0">
          <w:rPr>
            <w:noProof/>
          </w:rPr>
          <w:fldChar w:fldCharType="begin"/>
        </w:r>
        <w:r w:rsidR="00E245DD" w:rsidRPr="00510AD0">
          <w:rPr>
            <w:noProof/>
          </w:rPr>
          <w:instrText xml:space="preserve"> PAGEREF _Toc99035920 \h </w:instrText>
        </w:r>
        <w:r w:rsidR="00E245DD" w:rsidRPr="00510AD0">
          <w:rPr>
            <w:noProof/>
          </w:rPr>
        </w:r>
        <w:r w:rsidR="00E245DD" w:rsidRPr="00510AD0">
          <w:rPr>
            <w:noProof/>
          </w:rPr>
          <w:fldChar w:fldCharType="separate"/>
        </w:r>
        <w:r w:rsidR="0077573F" w:rsidRPr="00510AD0">
          <w:rPr>
            <w:noProof/>
          </w:rPr>
          <w:t>40</w:t>
        </w:r>
        <w:r w:rsidR="00E245DD" w:rsidRPr="00510AD0">
          <w:rPr>
            <w:noProof/>
          </w:rPr>
          <w:fldChar w:fldCharType="end"/>
        </w:r>
      </w:hyperlink>
    </w:p>
    <w:p w14:paraId="3843C5BA" w14:textId="25441ECD" w:rsidR="0055205C" w:rsidRPr="00510AD0" w:rsidRDefault="0055205C" w:rsidP="0070095F">
      <w:r w:rsidRPr="00510AD0">
        <w:fldChar w:fldCharType="end"/>
      </w:r>
    </w:p>
    <w:p w14:paraId="1B05482A" w14:textId="77777777" w:rsidR="0055205C" w:rsidRPr="00510AD0" w:rsidRDefault="0055205C">
      <w:r w:rsidRPr="00510AD0">
        <w:br w:type="page"/>
      </w:r>
    </w:p>
    <w:p w14:paraId="34AE33B2" w14:textId="77777777" w:rsidR="0055205C" w:rsidRPr="00510AD0" w:rsidRDefault="0055205C" w:rsidP="007F3DFC">
      <w:pPr>
        <w:pStyle w:val="Center"/>
        <w:rPr>
          <w:b/>
          <w:bCs/>
        </w:rPr>
      </w:pPr>
      <w:r w:rsidRPr="00510AD0">
        <w:rPr>
          <w:b/>
          <w:bCs/>
        </w:rPr>
        <w:lastRenderedPageBreak/>
        <w:t>APPENDICES</w:t>
      </w:r>
    </w:p>
    <w:p w14:paraId="1A021599" w14:textId="77777777" w:rsidR="0055205C" w:rsidRPr="00510AD0" w:rsidRDefault="0055205C" w:rsidP="007F3DFC">
      <w:pPr>
        <w:pStyle w:val="BodyTextLeft"/>
      </w:pPr>
      <w:r w:rsidRPr="00510AD0">
        <w:t>The following appendices are incorporated into and made a part of this Agreement by reference.</w:t>
      </w:r>
    </w:p>
    <w:p w14:paraId="5D035191" w14:textId="77777777" w:rsidR="0055205C" w:rsidRPr="00510AD0" w:rsidRDefault="0055205C" w:rsidP="00496C01">
      <w:pPr>
        <w:tabs>
          <w:tab w:val="right" w:leader="dot" w:pos="9360"/>
        </w:tabs>
        <w:spacing w:after="120"/>
      </w:pPr>
      <w:r w:rsidRPr="00510AD0">
        <w:t>Appendix I - General Definitions</w:t>
      </w:r>
      <w:r w:rsidRPr="00510AD0">
        <w:tab/>
      </w:r>
    </w:p>
    <w:p w14:paraId="635D1059" w14:textId="77777777" w:rsidR="0055205C" w:rsidRPr="00510AD0" w:rsidRDefault="0055205C" w:rsidP="00496C01">
      <w:pPr>
        <w:tabs>
          <w:tab w:val="right" w:leader="dot" w:pos="9360"/>
        </w:tabs>
        <w:spacing w:after="120"/>
      </w:pPr>
      <w:r w:rsidRPr="00510AD0">
        <w:t xml:space="preserve">Appendix II - Description of Project &amp; Product </w:t>
      </w:r>
      <w:r w:rsidRPr="00510AD0">
        <w:tab/>
      </w:r>
    </w:p>
    <w:p w14:paraId="04491D06" w14:textId="6303B88E" w:rsidR="0055205C" w:rsidRPr="00510AD0" w:rsidRDefault="0055205C" w:rsidP="00496C01">
      <w:pPr>
        <w:tabs>
          <w:tab w:val="right" w:leader="dot" w:pos="9360"/>
        </w:tabs>
        <w:spacing w:after="120"/>
      </w:pPr>
      <w:r w:rsidRPr="00510AD0">
        <w:t>Appendix III –</w:t>
      </w:r>
      <w:r w:rsidR="007F0194" w:rsidRPr="00510AD0">
        <w:t xml:space="preserve"> [Reserved]</w:t>
      </w:r>
      <w:r w:rsidRPr="00510AD0">
        <w:tab/>
      </w:r>
    </w:p>
    <w:p w14:paraId="03EB17DF" w14:textId="77777777" w:rsidR="0055205C" w:rsidRPr="00510AD0" w:rsidRDefault="0055205C" w:rsidP="00496C01">
      <w:pPr>
        <w:tabs>
          <w:tab w:val="right" w:leader="dot" w:pos="9360"/>
        </w:tabs>
        <w:spacing w:after="120"/>
      </w:pPr>
      <w:r w:rsidRPr="00510AD0">
        <w:t>Appendix IV – Initial Delivery Date Confirmation Letter</w:t>
      </w:r>
      <w:r w:rsidRPr="00510AD0">
        <w:tab/>
      </w:r>
    </w:p>
    <w:p w14:paraId="6CFF6B53" w14:textId="0C6C4B9E" w:rsidR="0055205C" w:rsidRPr="00510AD0" w:rsidRDefault="0055205C" w:rsidP="00496C01">
      <w:pPr>
        <w:tabs>
          <w:tab w:val="right" w:leader="dot" w:pos="9360"/>
        </w:tabs>
        <w:spacing w:after="120"/>
      </w:pPr>
      <w:r w:rsidRPr="00510AD0">
        <w:t xml:space="preserve">Appendix V – </w:t>
      </w:r>
      <w:r w:rsidR="00131D8D" w:rsidRPr="00510AD0">
        <w:t>[Reserved]</w:t>
      </w:r>
      <w:r w:rsidRPr="00510AD0">
        <w:tab/>
        <w:t xml:space="preserve"> </w:t>
      </w:r>
    </w:p>
    <w:p w14:paraId="1DC53A87" w14:textId="77777777" w:rsidR="0055205C" w:rsidRPr="00510AD0" w:rsidRDefault="0055205C" w:rsidP="00496C01">
      <w:pPr>
        <w:tabs>
          <w:tab w:val="right" w:leader="dot" w:pos="9360"/>
        </w:tabs>
        <w:spacing w:after="120"/>
      </w:pPr>
      <w:r w:rsidRPr="00510AD0">
        <w:t>Appendix VI – Attestations &amp; Certifications</w:t>
      </w:r>
      <w:r w:rsidRPr="00510AD0">
        <w:tab/>
        <w:t xml:space="preserve">   </w:t>
      </w:r>
    </w:p>
    <w:p w14:paraId="32630BC2" w14:textId="645AC080" w:rsidR="0055205C" w:rsidRPr="00510AD0" w:rsidRDefault="0055205C" w:rsidP="009219B2">
      <w:pPr>
        <w:tabs>
          <w:tab w:val="right" w:leader="dot" w:pos="9360"/>
        </w:tabs>
        <w:spacing w:after="120"/>
      </w:pPr>
      <w:r w:rsidRPr="00510AD0">
        <w:t>Appendix VI-A – Certification for Commercial Operation</w:t>
      </w:r>
      <w:r w:rsidRPr="00510AD0">
        <w:tab/>
      </w:r>
    </w:p>
    <w:p w14:paraId="1CC6EC98" w14:textId="7FCF9416" w:rsidR="0055205C" w:rsidRPr="00510AD0" w:rsidRDefault="0055205C" w:rsidP="00E30D29">
      <w:pPr>
        <w:tabs>
          <w:tab w:val="right" w:leader="dot" w:pos="9360"/>
        </w:tabs>
        <w:spacing w:after="120"/>
      </w:pPr>
      <w:r w:rsidRPr="00510AD0">
        <w:t>Appendix VI-B –</w:t>
      </w:r>
      <w:r w:rsidR="00EE4968" w:rsidRPr="00510AD0">
        <w:t>[Reserved]</w:t>
      </w:r>
      <w:r w:rsidRPr="00510AD0">
        <w:tab/>
      </w:r>
    </w:p>
    <w:p w14:paraId="166F31E7" w14:textId="5AAAB0AD" w:rsidR="0055205C" w:rsidRPr="00510AD0" w:rsidRDefault="0055205C" w:rsidP="00E30D29">
      <w:pPr>
        <w:tabs>
          <w:tab w:val="right" w:leader="dot" w:pos="9360"/>
        </w:tabs>
        <w:spacing w:after="120"/>
      </w:pPr>
      <w:r w:rsidRPr="00510AD0">
        <w:t xml:space="preserve">Appendix VI-C – </w:t>
      </w:r>
      <w:r w:rsidR="00E62639" w:rsidRPr="00510AD0">
        <w:t>[Reserved]</w:t>
      </w:r>
      <w:r w:rsidRPr="00510AD0">
        <w:tab/>
      </w:r>
    </w:p>
    <w:p w14:paraId="42DA249D" w14:textId="6148B1AA" w:rsidR="0055205C" w:rsidRPr="00510AD0" w:rsidRDefault="0055205C" w:rsidP="00E30D29">
      <w:pPr>
        <w:tabs>
          <w:tab w:val="right" w:leader="dot" w:pos="9360"/>
        </w:tabs>
        <w:spacing w:after="120"/>
      </w:pPr>
      <w:r w:rsidRPr="00510AD0">
        <w:t xml:space="preserve">Appendix VI-D ¬ </w:t>
      </w:r>
      <w:r w:rsidR="0097450C" w:rsidRPr="00510AD0">
        <w:t>[Reserved]</w:t>
      </w:r>
      <w:r w:rsidRPr="00510AD0">
        <w:tab/>
      </w:r>
    </w:p>
    <w:p w14:paraId="45BB6FA1" w14:textId="6DA72E89" w:rsidR="0055205C" w:rsidRPr="00510AD0" w:rsidRDefault="009834C7" w:rsidP="00496C01">
      <w:pPr>
        <w:tabs>
          <w:tab w:val="right" w:leader="dot" w:pos="9360"/>
        </w:tabs>
        <w:spacing w:after="120"/>
      </w:pPr>
      <w:r w:rsidRPr="00510AD0">
        <w:t>[</w:t>
      </w:r>
      <w:r w:rsidR="0055205C" w:rsidRPr="00510AD0">
        <w:t>Appendix VII – Forms of Performance Assurance</w:t>
      </w:r>
      <w:r w:rsidR="0055205C" w:rsidRPr="00510AD0">
        <w:tab/>
      </w:r>
    </w:p>
    <w:p w14:paraId="42B6501A" w14:textId="77777777" w:rsidR="0055205C" w:rsidRPr="00510AD0" w:rsidRDefault="0055205C" w:rsidP="002739AB">
      <w:pPr>
        <w:tabs>
          <w:tab w:val="right" w:leader="dot" w:pos="9360"/>
        </w:tabs>
        <w:spacing w:after="120"/>
      </w:pPr>
      <w:r w:rsidRPr="00510AD0">
        <w:t>Appendix VII-A – Form of Letter of Credit</w:t>
      </w:r>
      <w:r w:rsidRPr="00510AD0">
        <w:tab/>
      </w:r>
    </w:p>
    <w:p w14:paraId="672BBC66" w14:textId="77777777" w:rsidR="0055205C" w:rsidRPr="00510AD0" w:rsidRDefault="0055205C" w:rsidP="002739AB">
      <w:pPr>
        <w:tabs>
          <w:tab w:val="right" w:leader="dot" w:pos="9360"/>
        </w:tabs>
        <w:spacing w:after="120"/>
      </w:pPr>
      <w:r w:rsidRPr="00510AD0">
        <w:t>Appendix VII-B –Form of Guaranty from a US Entity</w:t>
      </w:r>
      <w:r w:rsidRPr="00510AD0">
        <w:tab/>
      </w:r>
    </w:p>
    <w:p w14:paraId="13E795C9" w14:textId="4680F857" w:rsidR="0055205C" w:rsidRPr="00510AD0" w:rsidRDefault="0055205C" w:rsidP="002739AB">
      <w:pPr>
        <w:tabs>
          <w:tab w:val="right" w:leader="dot" w:pos="9360"/>
        </w:tabs>
        <w:spacing w:after="120"/>
      </w:pPr>
      <w:r w:rsidRPr="00510AD0">
        <w:t>Appendix VII-C – Form of Guaranty from a Non-US Entity</w:t>
      </w:r>
      <w:r w:rsidRPr="00510AD0">
        <w:tab/>
      </w:r>
      <w:r w:rsidR="009834C7" w:rsidRPr="00510AD0">
        <w:t>]</w:t>
      </w:r>
      <w:r w:rsidR="009834C7" w:rsidRPr="00510AD0">
        <w:rPr>
          <w:rStyle w:val="FootnoteReference"/>
        </w:rPr>
        <w:footnoteReference w:id="3"/>
      </w:r>
    </w:p>
    <w:p w14:paraId="3669F5BE" w14:textId="7B53849D" w:rsidR="0055205C" w:rsidRPr="00510AD0" w:rsidRDefault="0055205C" w:rsidP="00496C01">
      <w:pPr>
        <w:tabs>
          <w:tab w:val="right" w:leader="dot" w:pos="9360"/>
        </w:tabs>
        <w:spacing w:after="120"/>
      </w:pPr>
      <w:r w:rsidRPr="00510AD0">
        <w:t xml:space="preserve">Appendix VIII - </w:t>
      </w:r>
      <w:r w:rsidR="00DF0922" w:rsidRPr="00510AD0">
        <w:t>Reserved</w:t>
      </w:r>
      <w:r w:rsidRPr="00510AD0">
        <w:tab/>
      </w:r>
    </w:p>
    <w:p w14:paraId="1A055CEE" w14:textId="16FDCF1A" w:rsidR="0055205C" w:rsidRPr="00510AD0" w:rsidRDefault="0055205C" w:rsidP="00496C01">
      <w:pPr>
        <w:tabs>
          <w:tab w:val="right" w:leader="dot" w:pos="9360"/>
        </w:tabs>
        <w:spacing w:after="120"/>
      </w:pPr>
      <w:r w:rsidRPr="00510AD0">
        <w:t xml:space="preserve">Appendix IX – </w:t>
      </w:r>
      <w:r w:rsidR="007C7BB1" w:rsidRPr="00510AD0">
        <w:t>[Reserved]</w:t>
      </w:r>
      <w:r w:rsidRPr="00510AD0">
        <w:tab/>
      </w:r>
    </w:p>
    <w:p w14:paraId="5ACAE74F" w14:textId="77777777" w:rsidR="0055205C" w:rsidRPr="00510AD0" w:rsidRDefault="0055205C" w:rsidP="00496C01">
      <w:pPr>
        <w:tabs>
          <w:tab w:val="right" w:leader="dot" w:pos="9360"/>
        </w:tabs>
        <w:spacing w:after="120"/>
      </w:pPr>
      <w:r w:rsidRPr="00510AD0">
        <w:t>Appendix X – Notices</w:t>
      </w:r>
      <w:r w:rsidRPr="00510AD0">
        <w:tab/>
      </w:r>
    </w:p>
    <w:p w14:paraId="35189B2A" w14:textId="2001B332" w:rsidR="0055205C" w:rsidRPr="00510AD0" w:rsidRDefault="0055205C" w:rsidP="00496C01">
      <w:pPr>
        <w:tabs>
          <w:tab w:val="right" w:leader="dot" w:pos="9360"/>
        </w:tabs>
        <w:spacing w:after="120"/>
      </w:pPr>
      <w:r w:rsidRPr="00510AD0">
        <w:t xml:space="preserve">Appendix XI – </w:t>
      </w:r>
      <w:r w:rsidR="00DF0922" w:rsidRPr="00510AD0">
        <w:t>Reserved</w:t>
      </w:r>
      <w:r w:rsidRPr="00510AD0">
        <w:tab/>
      </w:r>
    </w:p>
    <w:p w14:paraId="0C056F74" w14:textId="77777777" w:rsidR="0055205C" w:rsidRPr="00510AD0" w:rsidRDefault="0055205C" w:rsidP="00496C01">
      <w:pPr>
        <w:tabs>
          <w:tab w:val="right" w:leader="dot" w:pos="9360"/>
        </w:tabs>
        <w:spacing w:after="120"/>
      </w:pPr>
      <w:r w:rsidRPr="00510AD0">
        <w:t>[Appendix XII – Multiple-Use Attestation</w:t>
      </w:r>
      <w:r w:rsidRPr="00510AD0">
        <w:tab/>
        <w:t>]</w:t>
      </w:r>
      <w:bookmarkStart w:id="5" w:name="_Ref69141857"/>
      <w:r w:rsidRPr="00510AD0">
        <w:rPr>
          <w:rStyle w:val="FootnoteReference"/>
        </w:rPr>
        <w:footnoteReference w:id="4"/>
      </w:r>
      <w:bookmarkEnd w:id="5"/>
    </w:p>
    <w:p w14:paraId="47917CC6" w14:textId="77777777" w:rsidR="0055205C" w:rsidRPr="00510AD0" w:rsidRDefault="0055205C" w:rsidP="00952E62">
      <w:pPr>
        <w:tabs>
          <w:tab w:val="right" w:leader="dot" w:pos="9360"/>
        </w:tabs>
        <w:spacing w:after="120"/>
      </w:pPr>
      <w:r w:rsidRPr="00510AD0">
        <w:t xml:space="preserve">[Appendix XIII – Example of Energy Settlement Calculation </w:t>
      </w:r>
      <w:r w:rsidRPr="00510AD0">
        <w:tab/>
        <w:t>]</w:t>
      </w:r>
    </w:p>
    <w:p w14:paraId="336C8448" w14:textId="155DCCCF" w:rsidR="0055205C" w:rsidRPr="00510AD0" w:rsidRDefault="00E70175" w:rsidP="00952E62">
      <w:pPr>
        <w:tabs>
          <w:tab w:val="right" w:leader="dot" w:pos="9360"/>
        </w:tabs>
        <w:spacing w:after="120"/>
      </w:pPr>
      <w:r w:rsidRPr="00510AD0">
        <w:t>[</w:t>
      </w:r>
      <w:r w:rsidR="0055205C" w:rsidRPr="00510AD0">
        <w:t>Appendix XIV – Project Specific Requirements</w:t>
      </w:r>
      <w:r w:rsidR="0055205C" w:rsidRPr="00510AD0">
        <w:tab/>
      </w:r>
      <w:r w:rsidR="00386F19" w:rsidRPr="00510AD0">
        <w:t>]</w:t>
      </w:r>
      <w:r w:rsidR="00386F19" w:rsidRPr="00510AD0">
        <w:rPr>
          <w:rStyle w:val="FootnoteReference"/>
        </w:rPr>
        <w:footnoteReference w:id="5"/>
      </w:r>
    </w:p>
    <w:p w14:paraId="651B9B84" w14:textId="77777777" w:rsidR="0055205C" w:rsidRPr="00510AD0" w:rsidRDefault="0055205C" w:rsidP="009730C4">
      <w:pPr>
        <w:tabs>
          <w:tab w:val="right" w:leader="dot" w:pos="9360"/>
        </w:tabs>
        <w:spacing w:after="120"/>
      </w:pPr>
      <w:bookmarkStart w:id="6" w:name="_Hlk65601999"/>
      <w:r w:rsidRPr="00510AD0">
        <w:t>[Appendix XV – Energy Settlement Calculation</w:t>
      </w:r>
      <w:r w:rsidRPr="00510AD0">
        <w:tab/>
        <w:t>]</w:t>
      </w:r>
    </w:p>
    <w:p w14:paraId="6F29FD3A" w14:textId="77777777" w:rsidR="0055205C" w:rsidRPr="00510AD0" w:rsidRDefault="0055205C" w:rsidP="009730C4">
      <w:pPr>
        <w:tabs>
          <w:tab w:val="right" w:leader="dot" w:pos="9360"/>
        </w:tabs>
        <w:spacing w:after="120"/>
      </w:pPr>
      <w:r w:rsidRPr="00510AD0">
        <w:t>Appendix XVI – Contract Schedule</w:t>
      </w:r>
      <w:r w:rsidRPr="00510AD0">
        <w:tab/>
      </w:r>
    </w:p>
    <w:bookmarkEnd w:id="6"/>
    <w:p w14:paraId="5DFFDAFB" w14:textId="77777777" w:rsidR="00BC07B5" w:rsidRPr="00510AD0" w:rsidRDefault="00BC07B5" w:rsidP="00BC07B5">
      <w:pPr>
        <w:tabs>
          <w:tab w:val="right" w:leader="dot" w:pos="9360"/>
        </w:tabs>
        <w:spacing w:after="120"/>
      </w:pPr>
      <w:r w:rsidRPr="00510AD0">
        <w:t>[Appendix XVII – Energy Settlement Energy Price &amp; Hours</w:t>
      </w:r>
      <w:r w:rsidRPr="00510AD0">
        <w:tab/>
        <w:t>]</w:t>
      </w:r>
    </w:p>
    <w:p w14:paraId="34A6251D" w14:textId="2EC9F3C3" w:rsidR="0055205C" w:rsidRPr="00510AD0" w:rsidRDefault="0055205C" w:rsidP="00142EE7">
      <w:pPr>
        <w:tabs>
          <w:tab w:val="right" w:leader="dot" w:pos="9360"/>
        </w:tabs>
        <w:spacing w:after="120"/>
      </w:pPr>
      <w:r w:rsidRPr="00510AD0">
        <w:t>[Appendix XVIII – Energy Settlement Defined Terms</w:t>
      </w:r>
      <w:r w:rsidRPr="00510AD0">
        <w:tab/>
        <w:t>]</w:t>
      </w:r>
    </w:p>
    <w:p w14:paraId="64EA8939" w14:textId="77777777" w:rsidR="0055205C" w:rsidRPr="00510AD0" w:rsidRDefault="0055205C" w:rsidP="00142EE7">
      <w:pPr>
        <w:tabs>
          <w:tab w:val="right" w:leader="dot" w:pos="9360"/>
        </w:tabs>
        <w:spacing w:after="120"/>
      </w:pPr>
      <w:r w:rsidRPr="00510AD0">
        <w:lastRenderedPageBreak/>
        <w:t>[Appendix XIX – Behind the Meter Defined Terms</w:t>
      </w:r>
      <w:r w:rsidRPr="00510AD0">
        <w:tab/>
        <w:t>]</w:t>
      </w:r>
    </w:p>
    <w:p w14:paraId="149F38AF" w14:textId="77777777" w:rsidR="0055205C" w:rsidRPr="00510AD0" w:rsidRDefault="0055205C" w:rsidP="00142EE7">
      <w:pPr>
        <w:tabs>
          <w:tab w:val="right" w:leader="dot" w:pos="9360"/>
        </w:tabs>
        <w:spacing w:after="120"/>
      </w:pPr>
      <w:r w:rsidRPr="00510AD0">
        <w:t>[Appendix XX – Seller’s Portfolio List</w:t>
      </w:r>
      <w:r w:rsidRPr="00510AD0">
        <w:tab/>
        <w:t>]</w:t>
      </w:r>
    </w:p>
    <w:p w14:paraId="3B4E5768" w14:textId="640D8545" w:rsidR="0055205C" w:rsidRPr="00510AD0" w:rsidRDefault="0055205C" w:rsidP="00142EE7">
      <w:pPr>
        <w:tabs>
          <w:tab w:val="right" w:leader="dot" w:pos="9360"/>
        </w:tabs>
        <w:spacing w:after="120"/>
      </w:pPr>
      <w:r w:rsidRPr="00510AD0">
        <w:t>[Appendix XXI – List of Substations</w:t>
      </w:r>
      <w:r w:rsidRPr="00510AD0">
        <w:tab/>
        <w:t>]</w:t>
      </w:r>
      <w:r w:rsidR="00D8055F" w:rsidRPr="00510AD0">
        <w:rPr>
          <w:rStyle w:val="FootnoteReference"/>
        </w:rPr>
        <w:footnoteReference w:id="6"/>
      </w:r>
    </w:p>
    <w:p w14:paraId="477C15B6" w14:textId="77777777" w:rsidR="0055205C" w:rsidRPr="00510AD0" w:rsidRDefault="0055205C" w:rsidP="0070095F">
      <w:pPr>
        <w:sectPr w:rsidR="0055205C" w:rsidRPr="00510AD0" w:rsidSect="00727F6E">
          <w:headerReference w:type="default" r:id="rId14"/>
          <w:footerReference w:type="default" r:id="rId15"/>
          <w:pgSz w:w="12240" w:h="15840" w:code="1"/>
          <w:pgMar w:top="1440" w:right="1440" w:bottom="1440" w:left="1440" w:header="720" w:footer="432" w:gutter="0"/>
          <w:pgNumType w:fmt="lowerRoman" w:start="1"/>
          <w:cols w:space="720"/>
          <w:docGrid w:linePitch="360"/>
        </w:sectPr>
      </w:pPr>
    </w:p>
    <w:p w14:paraId="7E59B44A" w14:textId="77777777" w:rsidR="0055205C" w:rsidRPr="00510AD0" w:rsidRDefault="0055205C" w:rsidP="00727F6E">
      <w:pPr>
        <w:pStyle w:val="BodyTextLeftBold"/>
        <w:jc w:val="center"/>
      </w:pPr>
      <w:r w:rsidRPr="00510AD0">
        <w:lastRenderedPageBreak/>
        <w:t>CPE RESOURCE ADEQUACY AGREEMENT</w:t>
      </w:r>
    </w:p>
    <w:p w14:paraId="52667E88" w14:textId="77777777" w:rsidR="0055205C" w:rsidRPr="00510AD0" w:rsidRDefault="0055205C" w:rsidP="007F3DFC">
      <w:pPr>
        <w:pStyle w:val="BodyText"/>
      </w:pPr>
      <w:r w:rsidRPr="00510AD0">
        <w:t>This CPE Resource Adequacy Agreement is made by and between Pacific Gas and Electric Company, a California corporation (“PG&amp;E”, and as further defined herein, “Buyer”) and_________________ a ________________ company (“Seller”) as of the Execution Date.  Seller and Buyer are referred to individually as “Party” or collectively as “Parties”.  Therefore, Buyer and Seller hereby agree to the following:</w:t>
      </w:r>
    </w:p>
    <w:p w14:paraId="411106CA" w14:textId="77777777" w:rsidR="0055205C" w:rsidRPr="00510AD0" w:rsidRDefault="0055205C" w:rsidP="007F3DFC">
      <w:pPr>
        <w:pStyle w:val="Center"/>
        <w:rPr>
          <w:b/>
          <w:bCs/>
        </w:rPr>
      </w:pPr>
      <w:r w:rsidRPr="00510AD0">
        <w:rPr>
          <w:b/>
          <w:bCs/>
        </w:rPr>
        <w:t>RECITALS</w:t>
      </w:r>
    </w:p>
    <w:p w14:paraId="453E55FD" w14:textId="2CE94C96" w:rsidR="0055205C" w:rsidRPr="00510AD0" w:rsidRDefault="0055205C" w:rsidP="007F3DFC">
      <w:pPr>
        <w:pStyle w:val="BodyText"/>
      </w:pPr>
      <w:r w:rsidRPr="00510AD0">
        <w:t>WHEREAS, Seller desires to sell, and Buyer desires to purchase, the Product from a new-build Project</w:t>
      </w:r>
      <w:r w:rsidR="004D4E75" w:rsidRPr="00510AD0">
        <w:t xml:space="preserve"> which </w:t>
      </w:r>
      <w:r w:rsidR="00DF0922" w:rsidRPr="00510AD0">
        <w:t>will not be</w:t>
      </w:r>
      <w:r w:rsidR="004D4E75" w:rsidRPr="00510AD0">
        <w:t xml:space="preserve"> owned</w:t>
      </w:r>
      <w:r w:rsidR="00DF0922" w:rsidRPr="00510AD0">
        <w:t xml:space="preserve"> or operated</w:t>
      </w:r>
      <w:r w:rsidR="004D4E75" w:rsidRPr="00510AD0">
        <w:t xml:space="preserve"> by Seller</w:t>
      </w:r>
      <w:r w:rsidRPr="00510AD0">
        <w:t xml:space="preserve"> (as described on </w:t>
      </w:r>
      <w:r w:rsidRPr="00510AD0">
        <w:rPr>
          <w:u w:val="single"/>
        </w:rPr>
        <w:t>Appendix II</w:t>
      </w:r>
      <w:r w:rsidRPr="00510AD0">
        <w:t xml:space="preserve">) on the terms and conditions herein. </w:t>
      </w:r>
    </w:p>
    <w:p w14:paraId="0375A640" w14:textId="77777777" w:rsidR="0055205C" w:rsidRPr="00510AD0" w:rsidRDefault="0055205C" w:rsidP="007F3DFC">
      <w:pPr>
        <w:pStyle w:val="BodyText"/>
      </w:pPr>
      <w:r w:rsidRPr="00510AD0">
        <w:t xml:space="preserve">WHEREAS, As indicated in </w:t>
      </w:r>
      <w:r w:rsidRPr="00510AD0">
        <w:rPr>
          <w:u w:val="single"/>
        </w:rPr>
        <w:t>Appendix II</w:t>
      </w:r>
      <w:r w:rsidRPr="00510AD0">
        <w:t xml:space="preserve"> </w:t>
      </w:r>
      <w:bookmarkStart w:id="7" w:name="DocXTextRef6"/>
      <w:r w:rsidRPr="00510AD0">
        <w:t>(1)</w:t>
      </w:r>
      <w:bookmarkEnd w:id="7"/>
      <w:r w:rsidRPr="00510AD0">
        <w:t xml:space="preserve"> Part </w:t>
      </w:r>
      <w:bookmarkStart w:id="8" w:name="DocXTextRef4"/>
      <w:r w:rsidRPr="00510AD0">
        <w:t>A</w:t>
      </w:r>
      <w:bookmarkEnd w:id="8"/>
      <w:r w:rsidRPr="00510AD0">
        <w:t xml:space="preserve"> - the Project associated with this Agreement shall be located [front of] [behind] the retail meter and (2) Part </w:t>
      </w:r>
      <w:bookmarkStart w:id="9" w:name="DocXTextRef5"/>
      <w:r w:rsidRPr="00510AD0">
        <w:t>C</w:t>
      </w:r>
      <w:bookmarkEnd w:id="9"/>
      <w:r w:rsidRPr="00510AD0">
        <w:t xml:space="preserve"> – this Agreement [includes an Energy Settlement, which is based on market prices for energy, and, if applicable, will be netted out of Buyer’s monthly payment to Seller] OR [does not include Energy Settlement]. </w:t>
      </w:r>
    </w:p>
    <w:p w14:paraId="5377A8D6" w14:textId="77777777" w:rsidR="0055205C" w:rsidRPr="00510AD0" w:rsidRDefault="0055205C" w:rsidP="007F3DFC">
      <w:pPr>
        <w:pStyle w:val="BodyText"/>
        <w:rPr>
          <w:i/>
        </w:rPr>
      </w:pPr>
      <w:r w:rsidRPr="00510AD0">
        <w:t>NOW, THEREFORE, in consideration of the promises and other good and valuable consideration, the receipt and sufficiency of which are hereby acknowledged, Buyer and Seller, intending to be legally bound, hereby agree as follows:</w:t>
      </w:r>
    </w:p>
    <w:p w14:paraId="3094ED70" w14:textId="77777777" w:rsidR="0055205C" w:rsidRPr="00510AD0" w:rsidRDefault="0055205C" w:rsidP="00496C01">
      <w:pPr>
        <w:pStyle w:val="Heading1"/>
        <w:rPr>
          <w:b w:val="0"/>
        </w:rPr>
      </w:pPr>
      <w:bookmarkStart w:id="10" w:name="_Toc70208356"/>
      <w:bookmarkStart w:id="11" w:name="_Toc81215005"/>
      <w:bookmarkStart w:id="12" w:name="_Toc78477779"/>
      <w:bookmarkStart w:id="13" w:name="_Toc99035816"/>
      <w:r w:rsidRPr="00510AD0">
        <w:br/>
      </w:r>
      <w:bookmarkStart w:id="14" w:name="_Ref69141535"/>
      <w:r w:rsidRPr="00510AD0">
        <w:t>TERM</w:t>
      </w:r>
      <w:bookmarkEnd w:id="10"/>
      <w:bookmarkEnd w:id="11"/>
      <w:bookmarkEnd w:id="12"/>
      <w:bookmarkEnd w:id="13"/>
      <w:bookmarkEnd w:id="14"/>
    </w:p>
    <w:p w14:paraId="5C65B767" w14:textId="77777777" w:rsidR="0055205C" w:rsidRPr="00510AD0" w:rsidRDefault="0055205C" w:rsidP="0017021E">
      <w:pPr>
        <w:pStyle w:val="Heading2"/>
        <w:rPr>
          <w:vanish/>
          <w:specVanish/>
        </w:rPr>
      </w:pPr>
      <w:bookmarkStart w:id="15" w:name="_Ref69141536"/>
      <w:bookmarkStart w:id="16" w:name="_Toc70208357"/>
      <w:bookmarkStart w:id="17" w:name="_Toc81215006"/>
      <w:bookmarkStart w:id="18" w:name="_Toc78477780"/>
      <w:bookmarkStart w:id="19" w:name="_Toc99035817"/>
      <w:r w:rsidRPr="00510AD0">
        <w:t>Term</w:t>
      </w:r>
      <w:bookmarkEnd w:id="15"/>
      <w:bookmarkEnd w:id="16"/>
      <w:bookmarkEnd w:id="17"/>
      <w:bookmarkEnd w:id="18"/>
      <w:bookmarkEnd w:id="19"/>
    </w:p>
    <w:p w14:paraId="4539E2D4" w14:textId="77777777" w:rsidR="0055205C" w:rsidRPr="00510AD0" w:rsidRDefault="0055205C" w:rsidP="00727F6E">
      <w:pPr>
        <w:pStyle w:val="Heading2Continued"/>
      </w:pPr>
      <w:r w:rsidRPr="00510AD0">
        <w:t xml:space="preserve">.  </w:t>
      </w:r>
    </w:p>
    <w:p w14:paraId="58BFB4E2" w14:textId="112B7B00" w:rsidR="0055205C" w:rsidRPr="00510AD0" w:rsidRDefault="0055205C" w:rsidP="00D74823">
      <w:pPr>
        <w:pStyle w:val="Heading3"/>
      </w:pPr>
      <w:bookmarkStart w:id="20" w:name="_Ref69141537"/>
      <w:r w:rsidRPr="00510AD0">
        <w:t xml:space="preserve">The “Term” of this Agreement shall commence upon the Execution Date and shall continue until the expiration of the Delivery Term, provided that this Agreement shall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w:t>
      </w:r>
      <w:bookmarkStart w:id="21" w:name="DocXTextRef9"/>
      <w:r w:rsidRPr="00510AD0">
        <w:t>(i)</w:t>
      </w:r>
      <w:bookmarkEnd w:id="21"/>
      <w:r w:rsidRPr="00510AD0">
        <w:t xml:space="preserve"> all rights under Sections </w:t>
      </w:r>
      <w:r w:rsidR="00286173" w:rsidRPr="00510AD0">
        <w:fldChar w:fldCharType="begin"/>
      </w:r>
      <w:r w:rsidR="00286173" w:rsidRPr="00510AD0">
        <w:instrText xml:space="preserve">  REF _Ref69141741 \w \h \* MERGEFORMAT </w:instrText>
      </w:r>
      <w:r w:rsidR="00286173" w:rsidRPr="00510AD0">
        <w:fldChar w:fldCharType="separate"/>
      </w:r>
      <w:r w:rsidR="007751F5" w:rsidRPr="00510AD0">
        <w:t>15.1</w:t>
      </w:r>
      <w:r w:rsidR="00286173" w:rsidRPr="00510AD0">
        <w:fldChar w:fldCharType="end"/>
      </w:r>
      <w:r w:rsidRPr="00510AD0">
        <w:t xml:space="preserve"> through </w:t>
      </w:r>
      <w:r w:rsidR="00286173" w:rsidRPr="00510AD0">
        <w:fldChar w:fldCharType="begin"/>
      </w:r>
      <w:r w:rsidR="00286173" w:rsidRPr="00510AD0">
        <w:instrText xml:space="preserve">  REF _Ref69141752 \w \h \* MERGEFORMAT </w:instrText>
      </w:r>
      <w:r w:rsidR="00286173" w:rsidRPr="00510AD0">
        <w:fldChar w:fldCharType="separate"/>
      </w:r>
      <w:r w:rsidR="007751F5" w:rsidRPr="00510AD0">
        <w:t>15.6</w:t>
      </w:r>
      <w:r w:rsidR="00286173" w:rsidRPr="00510AD0">
        <w:fldChar w:fldCharType="end"/>
      </w:r>
      <w:r w:rsidRPr="00510AD0">
        <w:t xml:space="preserve"> (Indemnities) and any other indemnity rights survive the end of the Term for an additional twelve (12) months after; (ii) all rights and obligations under Article Nineteen (Confidentiality) survive the end of the Term for an additional two (2) years after; and (iii) all provisions relating to limitations of liability survive without durational limit.</w:t>
      </w:r>
      <w:bookmarkEnd w:id="20"/>
    </w:p>
    <w:p w14:paraId="4D8B2216" w14:textId="77777777" w:rsidR="0055205C" w:rsidRPr="00510AD0" w:rsidRDefault="0055205C" w:rsidP="00D74823">
      <w:pPr>
        <w:pStyle w:val="Heading3"/>
      </w:pPr>
      <w:bookmarkStart w:id="22" w:name="_Ref69141538"/>
      <w:r w:rsidRPr="00510AD0">
        <w:lastRenderedPageBreak/>
        <w:t>The “Delivery Term” is the period commencing on the Initial Delivery Date and ending on _________</w:t>
      </w:r>
      <w:bookmarkStart w:id="23" w:name="_Ref69141858"/>
      <w:r w:rsidRPr="00510AD0">
        <w:rPr>
          <w:rStyle w:val="FootnoteReference"/>
        </w:rPr>
        <w:footnoteReference w:id="7"/>
      </w:r>
      <w:bookmarkEnd w:id="23"/>
      <w:r w:rsidRPr="00510AD0">
        <w:t>, unless earlier terminated in accordance with the terms and conditions of this Agreement.</w:t>
      </w:r>
      <w:bookmarkEnd w:id="22"/>
      <w:r w:rsidRPr="00510AD0">
        <w:t xml:space="preserve"> </w:t>
      </w:r>
    </w:p>
    <w:p w14:paraId="6DA7739E" w14:textId="77777777" w:rsidR="0055205C" w:rsidRPr="00510AD0" w:rsidRDefault="0055205C" w:rsidP="00D74823">
      <w:pPr>
        <w:pStyle w:val="Heading3"/>
      </w:pPr>
      <w:bookmarkStart w:id="24" w:name="_Ref69141539"/>
      <w:r w:rsidRPr="00510AD0">
        <w:t>The “Expected Initial Delivery Date” is ________.</w:t>
      </w:r>
      <w:bookmarkStart w:id="25" w:name="_Ref69141859"/>
      <w:r w:rsidRPr="00510AD0">
        <w:rPr>
          <w:rStyle w:val="FootnoteReference"/>
        </w:rPr>
        <w:footnoteReference w:id="8"/>
      </w:r>
      <w:bookmarkEnd w:id="24"/>
      <w:bookmarkEnd w:id="25"/>
      <w:r w:rsidRPr="00510AD0">
        <w:t xml:space="preserve"> </w:t>
      </w:r>
    </w:p>
    <w:p w14:paraId="4C0B5521" w14:textId="38FEBA56" w:rsidR="0055205C" w:rsidRPr="00510AD0" w:rsidRDefault="0055205C" w:rsidP="00D74823">
      <w:pPr>
        <w:pStyle w:val="Heading3"/>
      </w:pPr>
      <w:bookmarkStart w:id="26" w:name="_Ref69141540"/>
      <w:r w:rsidRPr="00510AD0">
        <w:t xml:space="preserve">The “Initial Delivery Date” shall be the first day of the first Showing Month for which Product is delivered subject to the satisfaction of </w:t>
      </w:r>
      <w:r w:rsidR="00B466F4" w:rsidRPr="00510AD0">
        <w:t>[</w:t>
      </w:r>
      <w:r w:rsidRPr="00510AD0">
        <w:t xml:space="preserve">the </w:t>
      </w:r>
      <w:r w:rsidR="00AF5D79" w:rsidRPr="00510AD0">
        <w:t>CPUC Approval Condition Precedent</w:t>
      </w:r>
      <w:r w:rsidR="004670AF" w:rsidRPr="00510AD0">
        <w:t xml:space="preserve">, if applicable, </w:t>
      </w:r>
      <w:r w:rsidR="00AF5D79" w:rsidRPr="00510AD0">
        <w:t>and</w:t>
      </w:r>
      <w:r w:rsidR="00B466F4" w:rsidRPr="00510AD0">
        <w:t>]</w:t>
      </w:r>
      <w:r w:rsidR="00B466F4" w:rsidRPr="00510AD0">
        <w:rPr>
          <w:rStyle w:val="FootnoteReference"/>
        </w:rPr>
        <w:footnoteReference w:id="9"/>
      </w:r>
      <w:r w:rsidR="007850FA" w:rsidRPr="00510AD0">
        <w:t xml:space="preserve"> </w:t>
      </w:r>
      <w:r w:rsidR="008B5AE8" w:rsidRPr="00510AD0">
        <w:t xml:space="preserve">the Conditions Precedent to </w:t>
      </w:r>
      <w:r w:rsidR="007850FA" w:rsidRPr="00510AD0">
        <w:t>the Initial Delivery Date</w:t>
      </w:r>
      <w:r w:rsidRPr="00510AD0">
        <w:t>.</w:t>
      </w:r>
      <w:bookmarkEnd w:id="26"/>
    </w:p>
    <w:p w14:paraId="69CDC002" w14:textId="77777777" w:rsidR="0055205C" w:rsidRPr="00510AD0" w:rsidRDefault="0055205C" w:rsidP="0017021E">
      <w:pPr>
        <w:pStyle w:val="Heading2"/>
        <w:rPr>
          <w:vanish/>
          <w:specVanish/>
        </w:rPr>
      </w:pPr>
      <w:bookmarkStart w:id="27" w:name="_Ref69141541"/>
      <w:bookmarkStart w:id="28" w:name="_Toc70208358"/>
      <w:bookmarkStart w:id="29" w:name="_Toc81215007"/>
      <w:bookmarkStart w:id="30" w:name="_Toc78477781"/>
      <w:bookmarkStart w:id="31" w:name="_Toc99035818"/>
      <w:r w:rsidRPr="00510AD0">
        <w:t>Binding Nature</w:t>
      </w:r>
      <w:bookmarkEnd w:id="27"/>
      <w:bookmarkEnd w:id="28"/>
      <w:bookmarkEnd w:id="29"/>
      <w:bookmarkEnd w:id="30"/>
      <w:bookmarkEnd w:id="31"/>
    </w:p>
    <w:p w14:paraId="3CA20EC0" w14:textId="06F6E01B" w:rsidR="007A318B" w:rsidRPr="00510AD0" w:rsidRDefault="0055205C" w:rsidP="00727F6E">
      <w:pPr>
        <w:pStyle w:val="Heading2Continued"/>
      </w:pPr>
      <w:r w:rsidRPr="00510AD0">
        <w:t xml:space="preserve">. </w:t>
      </w:r>
      <w:r w:rsidR="006E75A9" w:rsidRPr="00510AD0">
        <w:t xml:space="preserve"> </w:t>
      </w:r>
    </w:p>
    <w:p w14:paraId="556156B4" w14:textId="48001ADD" w:rsidR="007A318B" w:rsidRPr="00510AD0" w:rsidRDefault="007A318B" w:rsidP="0006427F">
      <w:pPr>
        <w:pStyle w:val="Heading3"/>
        <w:numPr>
          <w:ilvl w:val="2"/>
          <w:numId w:val="10"/>
        </w:numPr>
      </w:pPr>
      <w:r w:rsidRPr="00510AD0">
        <w:rPr>
          <w:u w:val="single"/>
        </w:rPr>
        <w:t>Upon Execution Date</w:t>
      </w:r>
      <w:r w:rsidRPr="00510AD0">
        <w:t>.</w:t>
      </w:r>
      <w:r w:rsidR="0055205C" w:rsidRPr="00510AD0">
        <w:t xml:space="preserve"> </w:t>
      </w:r>
      <w:r w:rsidR="006E75A9" w:rsidRPr="00510AD0">
        <w:t xml:space="preserve"> This Agreement shall be effective and binding as of the Execution Date</w:t>
      </w:r>
      <w:r w:rsidR="0059222E" w:rsidRPr="00510AD0">
        <w:t>[</w:t>
      </w:r>
      <w:r w:rsidRPr="00510AD0">
        <w:t>, but only to the extent required to give full effect to, and enforce, th</w:t>
      </w:r>
      <w:r w:rsidR="000E68A3" w:rsidRPr="00510AD0">
        <w:t>e</w:t>
      </w:r>
      <w:r w:rsidRPr="00510AD0">
        <w:t xml:space="preserve"> rights and obligations of the Parties under: </w:t>
      </w:r>
    </w:p>
    <w:p w14:paraId="1248192D" w14:textId="77777777" w:rsidR="007A318B" w:rsidRPr="00510AD0" w:rsidRDefault="000E68A3" w:rsidP="0006427F">
      <w:pPr>
        <w:pStyle w:val="Heading4"/>
        <w:numPr>
          <w:ilvl w:val="3"/>
          <w:numId w:val="10"/>
        </w:numPr>
      </w:pPr>
      <w:r w:rsidRPr="00510AD0">
        <w:t>Articles One, Two, Eight and Eleven through Twenty-One;</w:t>
      </w:r>
    </w:p>
    <w:p w14:paraId="72FA8865" w14:textId="64BD2819" w:rsidR="000E68A3" w:rsidRPr="00510AD0" w:rsidRDefault="000E68A3" w:rsidP="000E68A3">
      <w:pPr>
        <w:pStyle w:val="Heading4"/>
        <w:numPr>
          <w:ilvl w:val="3"/>
          <w:numId w:val="10"/>
        </w:numPr>
      </w:pPr>
      <w:r w:rsidRPr="00510AD0">
        <w:t xml:space="preserve">Sections </w:t>
      </w:r>
      <w:r w:rsidR="00767327" w:rsidRPr="00510AD0">
        <w:t xml:space="preserve">3.2(a)(ii), 3.2(a)(v), </w:t>
      </w:r>
      <w:r w:rsidRPr="00510AD0">
        <w:t>3.2(b), 3.3 and 3.4;</w:t>
      </w:r>
    </w:p>
    <w:p w14:paraId="104F7B9D" w14:textId="255574AD" w:rsidR="000E68A3" w:rsidRPr="00510AD0" w:rsidRDefault="000E68A3" w:rsidP="000E68A3">
      <w:pPr>
        <w:pStyle w:val="Heading4"/>
        <w:numPr>
          <w:ilvl w:val="3"/>
          <w:numId w:val="10"/>
        </w:numPr>
      </w:pPr>
      <w:r w:rsidRPr="00510AD0">
        <w:t>Sections 7.1(a)</w:t>
      </w:r>
      <w:r w:rsidR="00767327" w:rsidRPr="00510AD0">
        <w:t>(i)</w:t>
      </w:r>
      <w:r w:rsidRPr="00510AD0">
        <w:t>-(iii), (v), (v</w:t>
      </w:r>
      <w:r w:rsidR="00DA4990" w:rsidRPr="00510AD0">
        <w:t>i</w:t>
      </w:r>
      <w:r w:rsidRPr="00510AD0">
        <w:t>)</w:t>
      </w:r>
      <w:r w:rsidR="00466E32" w:rsidRPr="00510AD0">
        <w:t xml:space="preserve"> [and (xiii)]</w:t>
      </w:r>
      <w:r w:rsidR="00466E32" w:rsidRPr="00510AD0">
        <w:rPr>
          <w:rStyle w:val="FootnoteReference"/>
        </w:rPr>
        <w:footnoteReference w:id="10"/>
      </w:r>
      <w:r w:rsidR="00466E32" w:rsidRPr="00510AD0">
        <w:t>, 7.1(b), and</w:t>
      </w:r>
      <w:r w:rsidR="00DA4990" w:rsidRPr="00510AD0">
        <w:t xml:space="preserve"> </w:t>
      </w:r>
      <w:r w:rsidRPr="00510AD0">
        <w:t>7.2-7.4; and</w:t>
      </w:r>
    </w:p>
    <w:p w14:paraId="5445DF52" w14:textId="77777777" w:rsidR="000E68A3" w:rsidRPr="00510AD0" w:rsidRDefault="000E68A3" w:rsidP="00123007">
      <w:pPr>
        <w:pStyle w:val="Heading4"/>
        <w:numPr>
          <w:ilvl w:val="3"/>
          <w:numId w:val="10"/>
        </w:numPr>
      </w:pPr>
      <w:r w:rsidRPr="00510AD0">
        <w:t>Sections 10.3-</w:t>
      </w:r>
      <w:r w:rsidR="00466E32" w:rsidRPr="00510AD0">
        <w:t>[</w:t>
      </w:r>
      <w:r w:rsidRPr="00510AD0">
        <w:t>10.</w:t>
      </w:r>
      <w:r w:rsidR="00DA4990" w:rsidRPr="00510AD0">
        <w:t>6</w:t>
      </w:r>
      <w:r w:rsidR="00466E32" w:rsidRPr="00510AD0">
        <w:t>]</w:t>
      </w:r>
      <w:r w:rsidR="00466E32" w:rsidRPr="00510AD0">
        <w:rPr>
          <w:rStyle w:val="FootnoteReference"/>
        </w:rPr>
        <w:footnoteReference w:id="11"/>
      </w:r>
      <w:r w:rsidRPr="00510AD0">
        <w:t xml:space="preserve">. </w:t>
      </w:r>
    </w:p>
    <w:p w14:paraId="154BF195" w14:textId="06538B64" w:rsidR="0055205C" w:rsidRPr="00510AD0" w:rsidRDefault="007A318B" w:rsidP="006F04EB">
      <w:pPr>
        <w:pStyle w:val="Heading3"/>
      </w:pPr>
      <w:r w:rsidRPr="00510AD0">
        <w:rPr>
          <w:u w:val="single"/>
        </w:rPr>
        <w:t>Upon CPUC Approval</w:t>
      </w:r>
      <w:r w:rsidRPr="00510AD0">
        <w:t>. This Agreement shall be in full force and effect, enforceable and binding in all respects, upon occurrence of the date on which the CPUC Approval Condition Precedent has been obtained</w:t>
      </w:r>
      <w:r w:rsidR="007C4149" w:rsidRPr="00510AD0">
        <w:t>]</w:t>
      </w:r>
      <w:r w:rsidR="007C4149" w:rsidRPr="00510AD0">
        <w:rPr>
          <w:rStyle w:val="FootnoteReference"/>
        </w:rPr>
        <w:footnoteReference w:id="12"/>
      </w:r>
      <w:r w:rsidRPr="00510AD0">
        <w:t xml:space="preserve">. </w:t>
      </w:r>
      <w:r w:rsidR="006E75A9" w:rsidRPr="00510AD0">
        <w:t xml:space="preserve"> Unless otherwise specified, all obligations of the Parties are binding throughout the Delivery Term.</w:t>
      </w:r>
    </w:p>
    <w:p w14:paraId="42C93D77" w14:textId="71339117" w:rsidR="00B73209" w:rsidRPr="00510AD0" w:rsidRDefault="00302958" w:rsidP="00B73209">
      <w:pPr>
        <w:pStyle w:val="Heading2"/>
        <w:numPr>
          <w:ilvl w:val="1"/>
          <w:numId w:val="10"/>
        </w:numPr>
        <w:rPr>
          <w:vanish/>
          <w:specVanish/>
        </w:rPr>
      </w:pPr>
      <w:bookmarkStart w:id="32" w:name="_Toc81215008"/>
      <w:bookmarkStart w:id="33" w:name="_Toc99035819"/>
      <w:r w:rsidRPr="00510AD0">
        <w:t>[</w:t>
      </w:r>
      <w:r w:rsidR="00B73209" w:rsidRPr="00510AD0">
        <w:t>CPUC Approval Delayed</w:t>
      </w:r>
      <w:bookmarkEnd w:id="32"/>
      <w:bookmarkEnd w:id="33"/>
    </w:p>
    <w:p w14:paraId="3D47CC15" w14:textId="7EFF50B7" w:rsidR="00B73209" w:rsidRPr="00510AD0" w:rsidRDefault="00B73209" w:rsidP="00B73209">
      <w:pPr>
        <w:pStyle w:val="Heading2Continued"/>
      </w:pPr>
      <w:r w:rsidRPr="00510AD0">
        <w:t xml:space="preserve">.  CPUC Approval must be obtained on or before </w:t>
      </w:r>
      <w:r w:rsidR="00302958" w:rsidRPr="00510AD0">
        <w:t xml:space="preserve">one hundred eighty (180) </w:t>
      </w:r>
      <w:r w:rsidRPr="00510AD0">
        <w:t>days from the date on which Buyer files this Agreement with the CPUC seeking CPUC Approval (“CPUC Approval Condition Precedent”). If (a) CPUC Approval has not been obtained by this date, or (b) if the CPUC rejects this Agreement through a final and non-appealable order, then either Party may terminate this Agreement effective upon Notice to the other Party</w:t>
      </w:r>
      <w:r w:rsidR="00767327" w:rsidRPr="00510AD0">
        <w:t>.</w:t>
      </w:r>
      <w:r w:rsidRPr="00510AD0">
        <w:t xml:space="preserve"> Within ten (10) Business Days of such termination</w:t>
      </w:r>
      <w:r w:rsidR="00767327" w:rsidRPr="00510AD0">
        <w:t>,</w:t>
      </w:r>
      <w:r w:rsidRPr="00510AD0">
        <w:t xml:space="preserve"> Buyer shall return the Project Development Security to Seller. Following the return of the Project Development Security to </w:t>
      </w:r>
      <w:r w:rsidRPr="00510AD0">
        <w:lastRenderedPageBreak/>
        <w:t>Seller, neither Party shall have any obligation or liability to the other by reason of such termination.</w:t>
      </w:r>
      <w:r w:rsidR="00302958" w:rsidRPr="00510AD0">
        <w:t>]</w:t>
      </w:r>
      <w:r w:rsidR="00CE2BBE" w:rsidRPr="00510AD0">
        <w:rPr>
          <w:rStyle w:val="FootnoteReference"/>
        </w:rPr>
        <w:footnoteReference w:id="13"/>
      </w:r>
    </w:p>
    <w:p w14:paraId="5A484B3B" w14:textId="77777777" w:rsidR="0055205C" w:rsidRPr="00510AD0" w:rsidRDefault="0055205C" w:rsidP="00E50639">
      <w:pPr>
        <w:pStyle w:val="Heading1"/>
      </w:pPr>
      <w:bookmarkStart w:id="34" w:name="_Toc70208359"/>
      <w:bookmarkStart w:id="35" w:name="_Toc81215009"/>
      <w:bookmarkStart w:id="36" w:name="_Toc78477782"/>
      <w:bookmarkStart w:id="37" w:name="_Toc99035820"/>
      <w:r w:rsidRPr="00510AD0">
        <w:br/>
      </w:r>
      <w:bookmarkStart w:id="38" w:name="_Ref69141549"/>
      <w:r w:rsidRPr="00510AD0">
        <w:t>CONDITIONS PRECEDENT TO INITIAL DELIVERY DATE</w:t>
      </w:r>
      <w:bookmarkEnd w:id="34"/>
      <w:bookmarkEnd w:id="35"/>
      <w:bookmarkEnd w:id="36"/>
      <w:bookmarkEnd w:id="37"/>
      <w:bookmarkEnd w:id="38"/>
    </w:p>
    <w:p w14:paraId="227B051B" w14:textId="77777777" w:rsidR="0055205C" w:rsidRPr="00510AD0" w:rsidRDefault="0055205C" w:rsidP="0017021E">
      <w:pPr>
        <w:pStyle w:val="Heading2"/>
        <w:rPr>
          <w:vanish/>
          <w:specVanish/>
        </w:rPr>
      </w:pPr>
      <w:bookmarkStart w:id="39" w:name="_Ref69141550"/>
      <w:bookmarkStart w:id="40" w:name="_Toc70208360"/>
      <w:bookmarkStart w:id="41" w:name="_Toc81215010"/>
      <w:bookmarkStart w:id="42" w:name="_Toc78477783"/>
      <w:bookmarkStart w:id="43" w:name="_Toc99035821"/>
      <w:r w:rsidRPr="00510AD0">
        <w:t>Conditions Precedent to the Initial Delivery Date</w:t>
      </w:r>
      <w:bookmarkEnd w:id="39"/>
      <w:bookmarkEnd w:id="40"/>
      <w:bookmarkEnd w:id="41"/>
      <w:bookmarkEnd w:id="42"/>
      <w:bookmarkEnd w:id="43"/>
    </w:p>
    <w:p w14:paraId="647F9B26" w14:textId="17FDA656" w:rsidR="0055205C" w:rsidRPr="00510AD0" w:rsidRDefault="0055205C" w:rsidP="00727F6E">
      <w:pPr>
        <w:pStyle w:val="Heading2Continued"/>
      </w:pPr>
      <w:r w:rsidRPr="00510AD0">
        <w:t xml:space="preserve">.  Seller shall give Buyer Notice of the expected occurrence of the Initial Delivery Date no later than ninety (90) days prior to the Initial Delivery Date.  Seller shall take all actions and obtain all approvals necessary to meet the obligations of this Agreement and to deliver the Product to Buyer pursuant to the terms of this Agreement, which include those obligations set forth below in Sections </w:t>
      </w:r>
      <w:r w:rsidR="00286173" w:rsidRPr="00510AD0">
        <w:fldChar w:fldCharType="begin"/>
      </w:r>
      <w:r w:rsidR="00286173" w:rsidRPr="00510AD0">
        <w:instrText xml:space="preserve">  REF _Ref69141551 \w \h \* MERGEFORMAT </w:instrText>
      </w:r>
      <w:r w:rsidR="00286173" w:rsidRPr="00510AD0">
        <w:fldChar w:fldCharType="separate"/>
      </w:r>
      <w:r w:rsidR="007751F5" w:rsidRPr="00510AD0">
        <w:t>2.1(a)</w:t>
      </w:r>
      <w:r w:rsidR="00286173" w:rsidRPr="00510AD0">
        <w:fldChar w:fldCharType="end"/>
      </w:r>
      <w:r w:rsidRPr="00510AD0">
        <w:t xml:space="preserve"> – </w:t>
      </w:r>
      <w:bookmarkStart w:id="44" w:name="DocXTextRef23"/>
      <w:r w:rsidRPr="00510AD0">
        <w:t>(k)</w:t>
      </w:r>
      <w:bookmarkEnd w:id="44"/>
      <w:r w:rsidRPr="00510AD0">
        <w:t xml:space="preserve"> (collectively the “Conditions Precedent”), which must be satisfied at least seventy-five (75) days before the Initial Delivery Date or such deadline as set forth below.  The Conditions Precedent are as follows:</w:t>
      </w:r>
    </w:p>
    <w:p w14:paraId="07204548" w14:textId="77777777" w:rsidR="00BE7FEF" w:rsidRPr="00510AD0" w:rsidRDefault="0055205C" w:rsidP="00D74823">
      <w:pPr>
        <w:pStyle w:val="Heading3"/>
      </w:pPr>
      <w:bookmarkStart w:id="45" w:name="_Ref69141551"/>
      <w:r w:rsidRPr="00510AD0">
        <w:t xml:space="preserve">The Project is listed on the CAISO </w:t>
      </w:r>
      <w:r w:rsidR="00BE7FEF" w:rsidRPr="00510AD0">
        <w:t xml:space="preserve">NQC List and is located in the Local Capacity Area listed in Appendix II, as identified in the CAISO </w:t>
      </w:r>
      <w:r w:rsidRPr="00510AD0">
        <w:t>Final Local Capacity Technical Study for</w:t>
      </w:r>
      <w:r w:rsidR="00BE7FEF" w:rsidRPr="00510AD0">
        <w:t xml:space="preserve"> the Delivery Term. </w:t>
      </w:r>
      <w:bookmarkStart w:id="46" w:name="_Ref69141552"/>
      <w:bookmarkEnd w:id="45"/>
    </w:p>
    <w:p w14:paraId="74DBB555" w14:textId="53505D2A" w:rsidR="0055205C" w:rsidRPr="00510AD0" w:rsidRDefault="0055205C" w:rsidP="00D74823">
      <w:pPr>
        <w:pStyle w:val="Heading3"/>
      </w:pPr>
      <w:r w:rsidRPr="00510AD0">
        <w:t>At Seller’s or Project Company’s expense, Seller or Project Company, as applicable, shall have secured all CAISO and Governmental Approvals as are necessary for the safe and lawful operation and maintenance of the Project and to enable Seller to deliver the Product to Buyer.</w:t>
      </w:r>
      <w:bookmarkEnd w:id="46"/>
    </w:p>
    <w:p w14:paraId="2BC8826E" w14:textId="4D12F00C" w:rsidR="0055205C" w:rsidRPr="00510AD0" w:rsidRDefault="0055205C" w:rsidP="00D74823">
      <w:pPr>
        <w:pStyle w:val="Heading3"/>
      </w:pPr>
      <w:bookmarkStart w:id="47" w:name="_Ref69141553"/>
      <w:r w:rsidRPr="00510AD0">
        <w:t xml:space="preserve">At Seller’s or Project Company’s expense, the Project shall have been constructed and have achieved commercial operation such that, as of the Initial Delivery Date </w:t>
      </w:r>
      <w:bookmarkStart w:id="48" w:name="DocXTextRef24"/>
      <w:r w:rsidRPr="00510AD0">
        <w:t>(i)</w:t>
      </w:r>
      <w:bookmarkEnd w:id="48"/>
      <w:r w:rsidRPr="00510AD0">
        <w:t xml:space="preserve"> Seller is able to satisfy its obligations herein and (ii) the Project is able to deliver Product in accordance with the terms hereof.</w:t>
      </w:r>
      <w:bookmarkEnd w:id="47"/>
    </w:p>
    <w:p w14:paraId="464075E0" w14:textId="152D4716" w:rsidR="0055205C" w:rsidRPr="00510AD0" w:rsidRDefault="0055205C" w:rsidP="00D74823">
      <w:pPr>
        <w:pStyle w:val="Heading3"/>
      </w:pPr>
      <w:bookmarkStart w:id="49" w:name="_Ref69141554"/>
      <w:r w:rsidRPr="00510AD0">
        <w:t>Seller shall have provided</w:t>
      </w:r>
      <w:r w:rsidR="008A0B74" w:rsidRPr="00510AD0">
        <w:t xml:space="preserve"> </w:t>
      </w:r>
      <w:r w:rsidRPr="00510AD0">
        <w:t>to Buyer a certification of Seller and a Licensed Professional Engineer, substantially in the form attached hereto as Appendix VI-A, demonstrating satisfactory completion of the Project at the Site and that the Commercial Operation Date has occurred.</w:t>
      </w:r>
      <w:bookmarkEnd w:id="49"/>
    </w:p>
    <w:p w14:paraId="31F6E9E4" w14:textId="77777777" w:rsidR="0055205C" w:rsidRPr="00510AD0" w:rsidRDefault="0055205C" w:rsidP="00D74823">
      <w:pPr>
        <w:pStyle w:val="Heading3"/>
      </w:pPr>
      <w:bookmarkStart w:id="50" w:name="_Ref69141555"/>
      <w:r w:rsidRPr="00510AD0">
        <w:t>Seller shall have provided to Buyer all documentation reasonably acceptable to Buyer demonstrating that the Project successfully completed all applicable testing and registration procedures required by CAISO to Bid into the CAISO Markets.</w:t>
      </w:r>
      <w:bookmarkEnd w:id="50"/>
    </w:p>
    <w:p w14:paraId="6877AFA9" w14:textId="425C39BF" w:rsidR="0055205C" w:rsidRPr="00510AD0" w:rsidRDefault="0055205C" w:rsidP="00D74823">
      <w:pPr>
        <w:pStyle w:val="Heading3"/>
      </w:pPr>
      <w:bookmarkStart w:id="51" w:name="_Ref69141556"/>
      <w:r w:rsidRPr="00510AD0">
        <w:t xml:space="preserve">At Seller’s </w:t>
      </w:r>
      <w:r w:rsidR="00DF0922" w:rsidRPr="00510AD0">
        <w:t>o</w:t>
      </w:r>
      <w:r w:rsidRPr="00510AD0">
        <w:t>r Project Company’s expense, Seller shall have executed</w:t>
      </w:r>
      <w:r w:rsidR="00CC50B8" w:rsidRPr="00510AD0">
        <w:t xml:space="preserve"> </w:t>
      </w:r>
      <w:r w:rsidRPr="00510AD0">
        <w:t>any necessary Interconnection Agreement and installed any necessary metering to deliver Product in accordance with the CAISO Tariff and any applicable tariffs of the Utility Distribution Company and the Participating Transmission Owner.</w:t>
      </w:r>
      <w:bookmarkEnd w:id="51"/>
      <w:r w:rsidRPr="00510AD0">
        <w:t xml:space="preserve"> </w:t>
      </w:r>
      <w:r w:rsidRPr="00510AD0" w:rsidDel="00524B79">
        <w:t xml:space="preserve"> </w:t>
      </w:r>
    </w:p>
    <w:p w14:paraId="529ACC72" w14:textId="52F8DE61" w:rsidR="0055205C" w:rsidRPr="00510AD0" w:rsidRDefault="00767327" w:rsidP="00D74823">
      <w:pPr>
        <w:pStyle w:val="Heading3"/>
      </w:pPr>
      <w:bookmarkStart w:id="52" w:name="_Ref69141557"/>
      <w:r w:rsidRPr="00510AD0">
        <w:lastRenderedPageBreak/>
        <w:t>[</w:t>
      </w:r>
      <w:r w:rsidR="0055205C" w:rsidRPr="00510AD0">
        <w:t xml:space="preserve">Seller shall have </w:t>
      </w:r>
      <w:r w:rsidR="00B61638" w:rsidRPr="00510AD0">
        <w:t>delivered Performance Assurance as required by Section 10.4</w:t>
      </w:r>
      <w:bookmarkEnd w:id="52"/>
      <w:r w:rsidR="00537899" w:rsidRPr="00510AD0">
        <w:t>)</w:t>
      </w:r>
      <w:r w:rsidR="00B61638" w:rsidRPr="00510AD0">
        <w:t>.</w:t>
      </w:r>
      <w:r w:rsidRPr="00510AD0">
        <w:t>]</w:t>
      </w:r>
      <w:r w:rsidRPr="00510AD0">
        <w:rPr>
          <w:rStyle w:val="FootnoteReference"/>
        </w:rPr>
        <w:footnoteReference w:id="14"/>
      </w:r>
    </w:p>
    <w:p w14:paraId="17A21A64" w14:textId="77777777" w:rsidR="0055205C" w:rsidRPr="00510AD0" w:rsidRDefault="0055205C" w:rsidP="00D74823">
      <w:pPr>
        <w:pStyle w:val="Heading3"/>
      </w:pPr>
      <w:bookmarkStart w:id="53" w:name="_Ref69141558"/>
      <w:r w:rsidRPr="00510AD0">
        <w:t>As of the Initial Delivery Date, no Seller’s Event of Default shall have occurred and remain uncured.</w:t>
      </w:r>
      <w:bookmarkEnd w:id="53"/>
    </w:p>
    <w:p w14:paraId="1D3E412D" w14:textId="77777777" w:rsidR="0055205C" w:rsidRPr="00510AD0" w:rsidRDefault="0055205C" w:rsidP="00D74823">
      <w:pPr>
        <w:pStyle w:val="Heading3"/>
        <w:numPr>
          <w:ilvl w:val="2"/>
          <w:numId w:val="10"/>
        </w:numPr>
      </w:pPr>
      <w:bookmarkStart w:id="54" w:name="_Ref69141559"/>
      <w:r w:rsidRPr="00510AD0">
        <w:t>[</w:t>
      </w:r>
      <w:r w:rsidR="00DF0922" w:rsidRPr="00510AD0">
        <w:t>Reserved.</w:t>
      </w:r>
      <w:r w:rsidRPr="00510AD0">
        <w:t>]</w:t>
      </w:r>
    </w:p>
    <w:p w14:paraId="346CEDD3" w14:textId="5D5E661B" w:rsidR="0055205C" w:rsidRPr="00510AD0" w:rsidRDefault="0055205C" w:rsidP="00D74823">
      <w:pPr>
        <w:pStyle w:val="Heading3"/>
      </w:pPr>
      <w:r w:rsidRPr="00510AD0">
        <w:t>Seller shall have obtained or caused the Project Company to</w:t>
      </w:r>
      <w:bookmarkStart w:id="55" w:name="_Ref69141560"/>
      <w:bookmarkEnd w:id="54"/>
      <w:r w:rsidRPr="00510AD0">
        <w:t xml:space="preserve"> have obtained certification of Product in accordance with the CAISO Tariff and CPUC requirements applicable to Product, all as verifiable by Buyer.</w:t>
      </w:r>
      <w:bookmarkEnd w:id="55"/>
    </w:p>
    <w:p w14:paraId="51EC84D4" w14:textId="12A07178" w:rsidR="0055205C" w:rsidRPr="00510AD0" w:rsidRDefault="00E70175" w:rsidP="00D74823">
      <w:pPr>
        <w:pStyle w:val="Heading3"/>
      </w:pPr>
      <w:bookmarkStart w:id="56" w:name="_Ref69141561"/>
      <w:r w:rsidRPr="00510AD0">
        <w:t>[</w:t>
      </w:r>
      <w:r w:rsidR="0055205C" w:rsidRPr="00510AD0">
        <w:t xml:space="preserve">Seller shall have satisfied all Project specific conditions precedent set forth in Part </w:t>
      </w:r>
      <w:bookmarkStart w:id="57" w:name="DocXTextRef27"/>
      <w:r w:rsidR="0055205C" w:rsidRPr="00510AD0">
        <w:t>1</w:t>
      </w:r>
      <w:bookmarkEnd w:id="57"/>
      <w:r w:rsidR="0055205C" w:rsidRPr="00510AD0">
        <w:t xml:space="preserve"> of Appendix XIV.</w:t>
      </w:r>
      <w:bookmarkEnd w:id="56"/>
      <w:r w:rsidRPr="00510AD0">
        <w:t>]</w:t>
      </w:r>
      <w:r w:rsidR="006E66CD" w:rsidRPr="00510AD0">
        <w:rPr>
          <w:rStyle w:val="FootnoteReference"/>
        </w:rPr>
        <w:footnoteReference w:id="15"/>
      </w:r>
    </w:p>
    <w:p w14:paraId="79B0964C" w14:textId="77777777" w:rsidR="0055205C" w:rsidRPr="00510AD0" w:rsidRDefault="0055205C" w:rsidP="0017021E">
      <w:pPr>
        <w:pStyle w:val="Heading2"/>
        <w:rPr>
          <w:vanish/>
          <w:specVanish/>
        </w:rPr>
      </w:pPr>
      <w:bookmarkStart w:id="59" w:name="_Ref69141562"/>
      <w:bookmarkStart w:id="60" w:name="_Toc70208361"/>
      <w:bookmarkStart w:id="61" w:name="_Toc81215011"/>
      <w:bookmarkStart w:id="62" w:name="_Toc78477784"/>
      <w:bookmarkStart w:id="63" w:name="_Toc99035822"/>
      <w:r w:rsidRPr="00510AD0">
        <w:t>Confirmation of Initial Delivery Date</w:t>
      </w:r>
      <w:bookmarkEnd w:id="59"/>
      <w:bookmarkEnd w:id="60"/>
      <w:bookmarkEnd w:id="61"/>
      <w:bookmarkEnd w:id="62"/>
      <w:bookmarkEnd w:id="63"/>
    </w:p>
    <w:p w14:paraId="0682E749" w14:textId="77777777" w:rsidR="0055205C" w:rsidRPr="00510AD0" w:rsidRDefault="0055205C" w:rsidP="00727F6E">
      <w:pPr>
        <w:pStyle w:val="Heading2Continued"/>
      </w:pPr>
      <w:r w:rsidRPr="00510AD0">
        <w:t xml:space="preserve">.  Once each of the Conditions Precedent to the Initial Delivery Date has been satisfied or waived, the Parties shall execute and exchange on the Initial Delivery Date the “Initial Delivery Date Confirmation Letter” attached as </w:t>
      </w:r>
      <w:r w:rsidRPr="00510AD0">
        <w:rPr>
          <w:u w:val="single"/>
        </w:rPr>
        <w:t>Appendix IV</w:t>
      </w:r>
      <w:r w:rsidRPr="00510AD0">
        <w:t>.</w:t>
      </w:r>
    </w:p>
    <w:p w14:paraId="66EF90CB" w14:textId="77777777" w:rsidR="0055205C" w:rsidRPr="00510AD0" w:rsidRDefault="0055205C" w:rsidP="0017021E">
      <w:pPr>
        <w:pStyle w:val="Heading2"/>
        <w:rPr>
          <w:vanish/>
          <w:specVanish/>
        </w:rPr>
      </w:pPr>
      <w:bookmarkStart w:id="64" w:name="_Ref69141563"/>
      <w:bookmarkStart w:id="65" w:name="_Toc70208362"/>
      <w:bookmarkStart w:id="66" w:name="_Toc81215012"/>
      <w:bookmarkStart w:id="67" w:name="_Toc78477785"/>
      <w:bookmarkStart w:id="68" w:name="_Toc99035823"/>
      <w:bookmarkStart w:id="69" w:name="_Hlk53495219"/>
      <w:r w:rsidRPr="00510AD0">
        <w:t>Deadline for the Initial Delivery Date</w:t>
      </w:r>
      <w:bookmarkEnd w:id="64"/>
      <w:bookmarkEnd w:id="65"/>
      <w:bookmarkEnd w:id="66"/>
      <w:bookmarkEnd w:id="67"/>
      <w:bookmarkEnd w:id="68"/>
    </w:p>
    <w:p w14:paraId="0F929B35" w14:textId="77777777" w:rsidR="0055205C" w:rsidRPr="00510AD0" w:rsidRDefault="0055205C" w:rsidP="00727F6E">
      <w:pPr>
        <w:pStyle w:val="Heading2Continued"/>
      </w:pPr>
      <w:r w:rsidRPr="00510AD0">
        <w:t xml:space="preserve">. </w:t>
      </w:r>
    </w:p>
    <w:p w14:paraId="06590378" w14:textId="326F87D6" w:rsidR="0055205C" w:rsidRPr="00510AD0" w:rsidRDefault="0055205C" w:rsidP="00BE7FEF">
      <w:pPr>
        <w:pStyle w:val="Heading3"/>
      </w:pPr>
      <w:bookmarkStart w:id="70" w:name="_Ref69141564"/>
      <w:r w:rsidRPr="00510AD0">
        <w:t>The Initial Delivery Date may not occur prior to the Expected Initial Delivery Date, and the Initial Delivery Date may not be later</w:t>
      </w:r>
      <w:r w:rsidR="009134C4" w:rsidRPr="00510AD0">
        <w:t xml:space="preserve"> than</w:t>
      </w:r>
      <w:r w:rsidRPr="00510AD0">
        <w:t xml:space="preserve"> </w:t>
      </w:r>
      <w:r w:rsidR="00BE7FEF" w:rsidRPr="00510AD0">
        <w:t>two (2) calendar months b</w:t>
      </w:r>
      <w:r w:rsidRPr="00510AD0">
        <w:t>eyond the Expected Initial Delivery Date (“IDD Cure Period”).</w:t>
      </w:r>
      <w:bookmarkEnd w:id="70"/>
      <w:r w:rsidR="00BE7FEF" w:rsidRPr="00510AD0">
        <w:t xml:space="preserve"> The calendar month containing the Expected Initial </w:t>
      </w:r>
      <w:r w:rsidR="001C07A0" w:rsidRPr="00510AD0">
        <w:t>Delivery</w:t>
      </w:r>
      <w:r w:rsidR="00BE7FEF" w:rsidRPr="00510AD0">
        <w:t xml:space="preserve"> Date shall be counted as the first calendar month of such two (2) calendar month period. </w:t>
      </w:r>
    </w:p>
    <w:p w14:paraId="1FE6C373" w14:textId="77777777" w:rsidR="0055205C" w:rsidRPr="00510AD0" w:rsidRDefault="0055205C" w:rsidP="00D74823">
      <w:pPr>
        <w:pStyle w:val="Heading3"/>
      </w:pPr>
      <w:bookmarkStart w:id="71" w:name="_Ref69141565"/>
      <w:r w:rsidRPr="00510AD0">
        <w:t>The Parties agree that, in order for Seller to obtain an Initial Delivery Date, the Parties may have to perform certain of their Delivery Term obligations in advance of the Initial Delivery Date, including providing Supply Plans in advance of the Initial Delivery Date.  The Parties shall cooperate with each other in order for Buyer to be able to utilize the Product beginning on the Initial Delivery Date and Seller agrees to cause the Project’s SC to cooperate in order to achieve the same.</w:t>
      </w:r>
      <w:bookmarkEnd w:id="71"/>
      <w:r w:rsidRPr="00510AD0">
        <w:t xml:space="preserve">  </w:t>
      </w:r>
    </w:p>
    <w:p w14:paraId="72E4D6BC" w14:textId="1FAE803F" w:rsidR="0055205C" w:rsidRPr="00510AD0" w:rsidRDefault="0055205C" w:rsidP="0017021E">
      <w:pPr>
        <w:pStyle w:val="Heading2"/>
        <w:rPr>
          <w:vanish/>
          <w:specVanish/>
        </w:rPr>
      </w:pPr>
      <w:bookmarkStart w:id="72" w:name="_Ref69141566"/>
      <w:bookmarkStart w:id="73" w:name="_Toc70208363"/>
      <w:bookmarkStart w:id="74" w:name="_Toc81215013"/>
      <w:bookmarkStart w:id="75" w:name="_Toc78477786"/>
      <w:bookmarkStart w:id="76" w:name="_Toc99035824"/>
      <w:r w:rsidRPr="00510AD0">
        <w:t>Expected Initial Delivery Date Cure Period and Delay Damages</w:t>
      </w:r>
      <w:bookmarkEnd w:id="72"/>
      <w:bookmarkEnd w:id="73"/>
      <w:bookmarkEnd w:id="74"/>
      <w:bookmarkEnd w:id="75"/>
      <w:bookmarkEnd w:id="76"/>
    </w:p>
    <w:p w14:paraId="500EE0D5" w14:textId="77777777" w:rsidR="0055205C" w:rsidRPr="00510AD0" w:rsidRDefault="0055205C" w:rsidP="00727F6E">
      <w:pPr>
        <w:pStyle w:val="Heading2Continued"/>
      </w:pPr>
      <w:r w:rsidRPr="00510AD0">
        <w:t xml:space="preserve">. </w:t>
      </w:r>
    </w:p>
    <w:p w14:paraId="65D43301" w14:textId="4AFD8D0E" w:rsidR="0055205C" w:rsidRPr="00510AD0" w:rsidRDefault="0055205C" w:rsidP="00D74823">
      <w:pPr>
        <w:pStyle w:val="Heading3"/>
      </w:pPr>
      <w:bookmarkStart w:id="77" w:name="_Ref69141567"/>
      <w:r w:rsidRPr="00510AD0">
        <w:rPr>
          <w:u w:val="single"/>
        </w:rPr>
        <w:t>Delay Damages</w:t>
      </w:r>
      <w:r w:rsidRPr="00510AD0">
        <w:t>.  If Seller has not achieved the Initial Delivery Date as of the Expected Initial Delivery Date for reasons other than an extension due to a Force Majeure event</w:t>
      </w:r>
      <w:r w:rsidR="00767327" w:rsidRPr="00510AD0">
        <w:t xml:space="preserve"> in accordance with Article Eight</w:t>
      </w:r>
      <w:r w:rsidRPr="00510AD0">
        <w:t xml:space="preserve">, then for every </w:t>
      </w:r>
      <w:r w:rsidR="00BE7FEF" w:rsidRPr="00510AD0">
        <w:t xml:space="preserve">calendar month </w:t>
      </w:r>
      <w:r w:rsidRPr="00510AD0">
        <w:t xml:space="preserve">beginning with the </w:t>
      </w:r>
      <w:r w:rsidR="00BE7FEF" w:rsidRPr="00510AD0">
        <w:t xml:space="preserve">calendar month of </w:t>
      </w:r>
      <w:r w:rsidRPr="00510AD0">
        <w:t>the Expected Initial Delivery Date through and including the</w:t>
      </w:r>
      <w:r w:rsidR="00BE7FEF" w:rsidRPr="00510AD0">
        <w:t xml:space="preserve"> calendar month prior to that calendar month when the </w:t>
      </w:r>
      <w:r w:rsidRPr="00510AD0">
        <w:t xml:space="preserve">Initial Delivery Date occurs, Seller shall pay to Buyer liquidated damages in the amount of </w:t>
      </w:r>
      <w:r w:rsidR="00C90571" w:rsidRPr="00510AD0">
        <w:t xml:space="preserve">forty </w:t>
      </w:r>
      <w:r w:rsidR="00BE7FEF" w:rsidRPr="00510AD0">
        <w:t xml:space="preserve">thousand dollars </w:t>
      </w:r>
      <w:r w:rsidRPr="00510AD0">
        <w:t xml:space="preserve">per MW per </w:t>
      </w:r>
      <w:r w:rsidR="00BE7FEF" w:rsidRPr="00510AD0">
        <w:t>calendar month</w:t>
      </w:r>
      <w:r w:rsidRPr="00510AD0">
        <w:t xml:space="preserve"> ($</w:t>
      </w:r>
      <w:r w:rsidR="00C90571" w:rsidRPr="00510AD0">
        <w:t>4</w:t>
      </w:r>
      <w:r w:rsidR="00BE7FEF" w:rsidRPr="00510AD0">
        <w:t>0,000</w:t>
      </w:r>
      <w:r w:rsidRPr="00510AD0">
        <w:t xml:space="preserve">/MW per </w:t>
      </w:r>
      <w:r w:rsidR="00BE7FEF" w:rsidRPr="00510AD0">
        <w:t>calendar month</w:t>
      </w:r>
      <w:r w:rsidRPr="00510AD0">
        <w:t xml:space="preserve">); all or any portion of such damages are “Delay Damages”. If </w:t>
      </w:r>
      <w:r w:rsidRPr="00510AD0">
        <w:lastRenderedPageBreak/>
        <w:t xml:space="preserve">Delay Damages are due, then Buyer shall provide Notice to Seller of the amounts due and Buyer may draw such amounts due from the </w:t>
      </w:r>
      <w:r w:rsidR="004D72DA" w:rsidRPr="00510AD0">
        <w:t>Project Development Security</w:t>
      </w:r>
      <w:r w:rsidRPr="00510AD0">
        <w:t xml:space="preserve">, provided that if the </w:t>
      </w:r>
      <w:r w:rsidR="004D72DA" w:rsidRPr="00510AD0">
        <w:t>Project Development Security</w:t>
      </w:r>
      <w:r w:rsidR="004D72DA" w:rsidRPr="00510AD0" w:rsidDel="004D72DA">
        <w:t xml:space="preserve"> </w:t>
      </w:r>
      <w:r w:rsidRPr="00510AD0">
        <w:t xml:space="preserve">is not adequate to compensate Buyer for </w:t>
      </w:r>
      <w:r w:rsidR="00BE7FEF" w:rsidRPr="00510AD0">
        <w:t xml:space="preserve">the </w:t>
      </w:r>
      <w:r w:rsidRPr="00510AD0">
        <w:t xml:space="preserve">Delay Damages, Buyer shall invoice Seller for the amount still owed to Buyer on a monthly basis during the period of the delay.  Each Party agrees that </w:t>
      </w:r>
      <w:bookmarkStart w:id="78" w:name="DocXTextRef28"/>
      <w:r w:rsidRPr="00510AD0">
        <w:t>(i)</w:t>
      </w:r>
      <w:bookmarkEnd w:id="78"/>
      <w:r w:rsidRPr="00510AD0">
        <w:t xml:space="preserve"> the damages that Buyer would incur due to Seller’s delay in achieving the Expected Initial Delivery Date would be difficult or impossible to predict with certainty and (ii) the Delay Damages are an appropriate approximation of such damages.</w:t>
      </w:r>
      <w:bookmarkEnd w:id="77"/>
      <w:r w:rsidRPr="00510AD0">
        <w:t xml:space="preserve"> </w:t>
      </w:r>
    </w:p>
    <w:p w14:paraId="18B58F39" w14:textId="6FFA71D8" w:rsidR="0055205C" w:rsidRPr="00510AD0" w:rsidRDefault="0055205C" w:rsidP="00D74823">
      <w:pPr>
        <w:pStyle w:val="Heading3"/>
      </w:pPr>
      <w:bookmarkStart w:id="79" w:name="_Ref69141568"/>
      <w:r w:rsidRPr="00510AD0">
        <w:rPr>
          <w:u w:val="single"/>
        </w:rPr>
        <w:t>Force Majeure Delay</w:t>
      </w:r>
      <w:r w:rsidRPr="00510AD0">
        <w:t>.  If Seller has not achieved the Initial Delivery Date as of the Expected Initial Delivery Date because of a Force Majeure even</w:t>
      </w:r>
      <w:r w:rsidR="00CC50B8" w:rsidRPr="00510AD0">
        <w:t>t</w:t>
      </w:r>
      <w:r w:rsidRPr="00510AD0">
        <w:t>, Seller is not responsible for paying Delay Damages for the period extending to the first day following a day-for-day extension of the same duration as the Force Majeure event.</w:t>
      </w:r>
      <w:bookmarkEnd w:id="79"/>
      <w:r w:rsidRPr="00510AD0">
        <w:t xml:space="preserve">  </w:t>
      </w:r>
    </w:p>
    <w:p w14:paraId="084439BA" w14:textId="77777777" w:rsidR="0055205C" w:rsidRPr="00510AD0" w:rsidRDefault="0055205C" w:rsidP="00E50639">
      <w:pPr>
        <w:pStyle w:val="Heading1"/>
      </w:pPr>
      <w:bookmarkStart w:id="80" w:name="_Toc70208364"/>
      <w:bookmarkStart w:id="81" w:name="_Toc81215014"/>
      <w:bookmarkStart w:id="82" w:name="_Toc78477787"/>
      <w:bookmarkStart w:id="83" w:name="_Toc99035825"/>
      <w:bookmarkEnd w:id="69"/>
      <w:r w:rsidRPr="00510AD0">
        <w:br/>
      </w:r>
      <w:bookmarkStart w:id="84" w:name="_Ref69141569"/>
      <w:r w:rsidRPr="00510AD0">
        <w:t>TRANSACTION</w:t>
      </w:r>
      <w:bookmarkEnd w:id="80"/>
      <w:bookmarkEnd w:id="81"/>
      <w:bookmarkEnd w:id="82"/>
      <w:bookmarkEnd w:id="83"/>
      <w:bookmarkEnd w:id="84"/>
    </w:p>
    <w:p w14:paraId="3C675B01" w14:textId="77777777" w:rsidR="0055205C" w:rsidRPr="00510AD0" w:rsidRDefault="0055205C" w:rsidP="0017021E">
      <w:pPr>
        <w:pStyle w:val="Heading2"/>
        <w:rPr>
          <w:vanish/>
          <w:specVanish/>
        </w:rPr>
      </w:pPr>
      <w:bookmarkStart w:id="85" w:name="_Ref69141570"/>
      <w:bookmarkStart w:id="86" w:name="_Toc70208365"/>
      <w:bookmarkStart w:id="87" w:name="_Toc81215015"/>
      <w:bookmarkStart w:id="88" w:name="_Toc78477788"/>
      <w:bookmarkStart w:id="89" w:name="_Toc99035826"/>
      <w:r w:rsidRPr="00510AD0">
        <w:t>Product</w:t>
      </w:r>
      <w:bookmarkEnd w:id="85"/>
      <w:bookmarkEnd w:id="86"/>
      <w:bookmarkEnd w:id="87"/>
      <w:bookmarkEnd w:id="88"/>
      <w:bookmarkEnd w:id="89"/>
    </w:p>
    <w:p w14:paraId="641B054F" w14:textId="459B809D" w:rsidR="0055205C" w:rsidRPr="00510AD0" w:rsidRDefault="0055205C" w:rsidP="00727F6E">
      <w:pPr>
        <w:pStyle w:val="Heading2Continued"/>
      </w:pPr>
      <w:r w:rsidRPr="00510AD0">
        <w:t xml:space="preserve">.  Seller shall provide Buyer </w:t>
      </w:r>
      <w:bookmarkStart w:id="90" w:name="_Hlk65602095"/>
      <w:r w:rsidRPr="00510AD0">
        <w:t xml:space="preserve">the </w:t>
      </w:r>
      <w:bookmarkEnd w:id="90"/>
      <w:r w:rsidR="00386F19" w:rsidRPr="00510AD0">
        <w:t>Capacity Attributes</w:t>
      </w:r>
      <w:r w:rsidRPr="00510AD0">
        <w:t xml:space="preserve"> which must be exclusively from the Project </w:t>
      </w:r>
      <w:bookmarkStart w:id="91" w:name="_Hlk65602109"/>
      <w:r w:rsidRPr="00510AD0">
        <w:t xml:space="preserve">during the applicable Contract Month as set forth in </w:t>
      </w:r>
      <w:r w:rsidRPr="00510AD0">
        <w:rPr>
          <w:u w:val="single"/>
        </w:rPr>
        <w:t>Appendix II</w:t>
      </w:r>
      <w:bookmarkEnd w:id="91"/>
      <w:r w:rsidR="00386F19" w:rsidRPr="00510AD0">
        <w:rPr>
          <w:u w:val="single"/>
        </w:rPr>
        <w:t xml:space="preserve"> </w:t>
      </w:r>
      <w:r w:rsidR="00386F19" w:rsidRPr="00510AD0">
        <w:t>(“Product”)</w:t>
      </w:r>
      <w:r w:rsidRPr="00510AD0">
        <w:t>.  Product does not confer to Buyer any right to dispatch or receive Energy or Ancillary Services from the Project.</w:t>
      </w:r>
    </w:p>
    <w:p w14:paraId="7BA7A0A1" w14:textId="77777777" w:rsidR="0055205C" w:rsidRPr="00510AD0" w:rsidRDefault="0055205C" w:rsidP="0017021E">
      <w:pPr>
        <w:pStyle w:val="Heading2"/>
        <w:rPr>
          <w:vanish/>
          <w:specVanish/>
        </w:rPr>
      </w:pPr>
      <w:bookmarkStart w:id="92" w:name="_Ref69141571"/>
      <w:bookmarkStart w:id="93" w:name="_Toc70208366"/>
      <w:bookmarkStart w:id="94" w:name="_Toc81215016"/>
      <w:bookmarkStart w:id="95" w:name="_Toc78477789"/>
      <w:bookmarkStart w:id="96" w:name="_Toc99035827"/>
      <w:r w:rsidRPr="00510AD0">
        <w:t>Purchase and Sale Obligation</w:t>
      </w:r>
      <w:bookmarkEnd w:id="92"/>
      <w:bookmarkEnd w:id="93"/>
      <w:bookmarkEnd w:id="94"/>
      <w:bookmarkEnd w:id="95"/>
      <w:bookmarkEnd w:id="96"/>
    </w:p>
    <w:p w14:paraId="68CA4722" w14:textId="77777777" w:rsidR="0055205C" w:rsidRPr="00510AD0" w:rsidRDefault="0055205C" w:rsidP="00727F6E">
      <w:pPr>
        <w:pStyle w:val="Heading2Continued"/>
      </w:pPr>
      <w:r w:rsidRPr="00510AD0">
        <w:t xml:space="preserve">. </w:t>
      </w:r>
    </w:p>
    <w:p w14:paraId="3317CCED" w14:textId="77777777" w:rsidR="0055205C" w:rsidRPr="00510AD0" w:rsidRDefault="0055205C" w:rsidP="00D74823">
      <w:pPr>
        <w:pStyle w:val="Heading3"/>
      </w:pPr>
      <w:bookmarkStart w:id="97" w:name="_Ref69141572"/>
      <w:r w:rsidRPr="00510AD0">
        <w:t>During the Term, Seller grants, pledges, assigns and otherwise commits and shall deliver to Buyer Product for Buyer’s exclusive use in its capacity as a Central Procurement Entity, pursuant to the terms and conditions contained herein.  Buyer shall have the right to re-sell all or any portion of the Product purchased under this Agreement (“Resold Product”).</w:t>
      </w:r>
      <w:bookmarkEnd w:id="97"/>
    </w:p>
    <w:p w14:paraId="331D7751" w14:textId="10658637" w:rsidR="0055205C" w:rsidRPr="00510AD0" w:rsidRDefault="00386F19" w:rsidP="00D74823">
      <w:pPr>
        <w:pStyle w:val="Heading4"/>
      </w:pPr>
      <w:r w:rsidRPr="00510AD0">
        <w:t>[Reserved]</w:t>
      </w:r>
    </w:p>
    <w:p w14:paraId="4C180D64" w14:textId="325EC2E1" w:rsidR="00165112" w:rsidRPr="00510AD0" w:rsidRDefault="001E7AA7" w:rsidP="00F2415E">
      <w:pPr>
        <w:pStyle w:val="Heading4"/>
      </w:pPr>
      <w:r w:rsidRPr="00510AD0">
        <w:t xml:space="preserve">In the event the CPUC, CAISO, other Governmental Authority or Person having jurisdiction over Capacity Attributes </w:t>
      </w:r>
      <w:r w:rsidR="00A371D4" w:rsidRPr="00510AD0">
        <w:t>reduces</w:t>
      </w:r>
      <w:r w:rsidRPr="00510AD0">
        <w:t xml:space="preserve"> the amount of Capacity Attributes </w:t>
      </w:r>
      <w:r w:rsidR="00B42470" w:rsidRPr="00510AD0">
        <w:t xml:space="preserve">that can be derived from </w:t>
      </w:r>
      <w:r w:rsidR="00693E51" w:rsidRPr="00510AD0">
        <w:t>the Project</w:t>
      </w:r>
      <w:r w:rsidR="00386F19" w:rsidRPr="00510AD0">
        <w:t xml:space="preserve"> to an amount less than the Product but more than zero (0) MW in a twelve (12) calendar months period</w:t>
      </w:r>
      <w:r w:rsidR="00B131DD" w:rsidRPr="00510AD0">
        <w:t xml:space="preserve">, </w:t>
      </w:r>
      <w:r w:rsidR="002C5867" w:rsidRPr="00510AD0">
        <w:t>then</w:t>
      </w:r>
      <w:r w:rsidRPr="00510AD0">
        <w:t xml:space="preserve"> </w:t>
      </w:r>
      <w:r w:rsidR="00F513C4" w:rsidRPr="00510AD0">
        <w:t xml:space="preserve">Seller </w:t>
      </w:r>
      <w:r w:rsidR="000D7EA9" w:rsidRPr="00510AD0">
        <w:t>may</w:t>
      </w:r>
      <w:r w:rsidRPr="00510AD0">
        <w:t xml:space="preserve"> provide Notice to </w:t>
      </w:r>
      <w:r w:rsidR="00F513C4" w:rsidRPr="00510AD0">
        <w:t xml:space="preserve">Buyer </w:t>
      </w:r>
      <w:r w:rsidR="008D039E" w:rsidRPr="00510AD0">
        <w:t xml:space="preserve">of the occurrence of </w:t>
      </w:r>
      <w:r w:rsidR="005B1E6D" w:rsidRPr="00510AD0">
        <w:t xml:space="preserve">such </w:t>
      </w:r>
      <w:r w:rsidR="00B131DD" w:rsidRPr="00510AD0">
        <w:t>reduction</w:t>
      </w:r>
      <w:r w:rsidR="00F2415E" w:rsidRPr="00510AD0">
        <w:t xml:space="preserve"> and reasonable details thereof</w:t>
      </w:r>
      <w:r w:rsidR="00FB34CE" w:rsidRPr="00510AD0">
        <w:t xml:space="preserve"> (“</w:t>
      </w:r>
      <w:r w:rsidR="00A86375" w:rsidRPr="00510AD0">
        <w:t>Capacity Attribute Reduction</w:t>
      </w:r>
      <w:r w:rsidR="00FB34CE" w:rsidRPr="00510AD0">
        <w:t xml:space="preserve"> Notice”)</w:t>
      </w:r>
      <w:r w:rsidRPr="00510AD0">
        <w:t>.</w:t>
      </w:r>
      <w:r w:rsidR="00D61F8B" w:rsidRPr="00510AD0">
        <w:t xml:space="preserve">  Following such </w:t>
      </w:r>
      <w:r w:rsidR="00DA1D7C" w:rsidRPr="00510AD0">
        <w:t xml:space="preserve">Capacity Attribute Reduction </w:t>
      </w:r>
      <w:r w:rsidR="00D61F8B" w:rsidRPr="00510AD0">
        <w:t xml:space="preserve">Notice, the </w:t>
      </w:r>
      <w:r w:rsidR="00386F19" w:rsidRPr="00510AD0">
        <w:t xml:space="preserve"> Product</w:t>
      </w:r>
      <w:r w:rsidR="002A2340" w:rsidRPr="00510AD0">
        <w:t xml:space="preserve"> </w:t>
      </w:r>
      <w:r w:rsidR="00D61F8B" w:rsidRPr="00510AD0">
        <w:t>shall automatically be reduced proportionately with the total reduction in the amount of Capacity Attributes</w:t>
      </w:r>
      <w:r w:rsidR="00B33DE0" w:rsidRPr="00510AD0">
        <w:t xml:space="preserve"> </w:t>
      </w:r>
      <w:r w:rsidR="00C31E71" w:rsidRPr="00510AD0">
        <w:t xml:space="preserve">that can be derived from </w:t>
      </w:r>
      <w:r w:rsidR="00B33DE0" w:rsidRPr="00510AD0">
        <w:t>the Project</w:t>
      </w:r>
      <w:r w:rsidR="00D61F8B" w:rsidRPr="00510AD0">
        <w:t xml:space="preserve"> for the remainder of the Delivery Term without further need for the Parties to amend this Agreement</w:t>
      </w:r>
      <w:r w:rsidR="002A2340" w:rsidRPr="00510AD0">
        <w:t>.</w:t>
      </w:r>
      <w:r w:rsidR="00527913" w:rsidRPr="00510AD0">
        <w:t xml:space="preserve">  </w:t>
      </w:r>
      <w:r w:rsidR="009E066D" w:rsidRPr="00510AD0">
        <w:t>The</w:t>
      </w:r>
      <w:r w:rsidR="00E02F84" w:rsidRPr="00510AD0">
        <w:t xml:space="preserve"> </w:t>
      </w:r>
      <w:r w:rsidR="00DA1D7C" w:rsidRPr="00510AD0">
        <w:t xml:space="preserve">Capacity Attribute Reduction </w:t>
      </w:r>
      <w:r w:rsidR="00E02F84" w:rsidRPr="00510AD0">
        <w:t xml:space="preserve">Notice shall only be </w:t>
      </w:r>
      <w:r w:rsidR="00A17CB9" w:rsidRPr="00510AD0">
        <w:t>effective</w:t>
      </w:r>
      <w:r w:rsidR="00E02F84" w:rsidRPr="00510AD0">
        <w:t xml:space="preserve"> for </w:t>
      </w:r>
      <w:r w:rsidR="00B221BE" w:rsidRPr="00510AD0">
        <w:t>Showing</w:t>
      </w:r>
      <w:r w:rsidR="00E02F84" w:rsidRPr="00510AD0">
        <w:t xml:space="preserve"> Months</w:t>
      </w:r>
      <w:r w:rsidR="00A17CB9" w:rsidRPr="00510AD0">
        <w:t xml:space="preserve"> where Seller has provided </w:t>
      </w:r>
      <w:r w:rsidR="00DA3C6A" w:rsidRPr="00510AD0">
        <w:t>a Capacity Attribute Reduction Notice</w:t>
      </w:r>
      <w:r w:rsidR="00A17CB9" w:rsidRPr="00510AD0">
        <w:t xml:space="preserve"> at least (15) Business </w:t>
      </w:r>
      <w:r w:rsidR="00C90571" w:rsidRPr="00510AD0">
        <w:t>D</w:t>
      </w:r>
      <w:r w:rsidR="00A17CB9" w:rsidRPr="00510AD0">
        <w:t>ays</w:t>
      </w:r>
      <w:r w:rsidR="00D028CF" w:rsidRPr="00510AD0">
        <w:t xml:space="preserve"> prior to the </w:t>
      </w:r>
      <w:r w:rsidR="00FC7248" w:rsidRPr="00510AD0">
        <w:t xml:space="preserve">Compliance Showing deadline </w:t>
      </w:r>
      <w:r w:rsidR="00D028CF" w:rsidRPr="00510AD0">
        <w:t xml:space="preserve">relevant </w:t>
      </w:r>
      <w:r w:rsidR="000E4731" w:rsidRPr="00510AD0">
        <w:t xml:space="preserve">to the Showing </w:t>
      </w:r>
      <w:r w:rsidR="00D028CF" w:rsidRPr="00510AD0">
        <w:t>Month</w:t>
      </w:r>
      <w:r w:rsidR="00DC4484" w:rsidRPr="00510AD0">
        <w:t>s</w:t>
      </w:r>
      <w:r w:rsidR="00D028CF" w:rsidRPr="00510AD0">
        <w:t>.</w:t>
      </w:r>
      <w:r w:rsidR="00F2415E" w:rsidRPr="00510AD0">
        <w:t xml:space="preserve"> </w:t>
      </w:r>
      <w:r w:rsidR="00570217" w:rsidRPr="00510AD0">
        <w:t xml:space="preserve">Following </w:t>
      </w:r>
      <w:r w:rsidR="00C90571" w:rsidRPr="00510AD0">
        <w:t xml:space="preserve">Seller’s provision of </w:t>
      </w:r>
      <w:r w:rsidR="00570217" w:rsidRPr="00510AD0">
        <w:t>a Capacity Attribute Reduction Notice, the Payment Quantity shall</w:t>
      </w:r>
      <w:r w:rsidR="00735228" w:rsidRPr="00510AD0">
        <w:t xml:space="preserve"> be automatically </w:t>
      </w:r>
      <w:r w:rsidR="00041DDD" w:rsidRPr="00510AD0">
        <w:t>reduced</w:t>
      </w:r>
      <w:r w:rsidR="00735228" w:rsidRPr="00510AD0">
        <w:t xml:space="preserve"> </w:t>
      </w:r>
      <w:r w:rsidR="00B06660" w:rsidRPr="00510AD0">
        <w:t xml:space="preserve">to match the </w:t>
      </w:r>
      <w:r w:rsidR="00386F19" w:rsidRPr="00510AD0">
        <w:t>Product</w:t>
      </w:r>
      <w:r w:rsidR="00B06660" w:rsidRPr="00510AD0">
        <w:t xml:space="preserve"> </w:t>
      </w:r>
      <w:r w:rsidR="00062AF0" w:rsidRPr="00510AD0">
        <w:t>in each C</w:t>
      </w:r>
      <w:r w:rsidR="008301C1" w:rsidRPr="00510AD0">
        <w:t>ontract Month</w:t>
      </w:r>
      <w:r w:rsidR="00A0670F" w:rsidRPr="00510AD0">
        <w:t xml:space="preserve"> </w:t>
      </w:r>
      <w:r w:rsidR="008301C1" w:rsidRPr="00510AD0">
        <w:t>for the remainder of</w:t>
      </w:r>
      <w:r w:rsidR="00A0670F" w:rsidRPr="00510AD0">
        <w:t xml:space="preserve"> </w:t>
      </w:r>
      <w:r w:rsidR="00C90571" w:rsidRPr="00510AD0">
        <w:t xml:space="preserve">the </w:t>
      </w:r>
      <w:r w:rsidR="008301C1" w:rsidRPr="00510AD0">
        <w:t>Delivery Term</w:t>
      </w:r>
      <w:r w:rsidR="00B06660" w:rsidRPr="00510AD0">
        <w:t xml:space="preserve"> </w:t>
      </w:r>
      <w:r w:rsidR="00862D74" w:rsidRPr="00510AD0">
        <w:t xml:space="preserve">without the further need </w:t>
      </w:r>
      <w:r w:rsidR="008D6593" w:rsidRPr="00510AD0">
        <w:t xml:space="preserve">of </w:t>
      </w:r>
      <w:r w:rsidR="00862D74" w:rsidRPr="00510AD0">
        <w:t xml:space="preserve">the Parties to amend this </w:t>
      </w:r>
      <w:r w:rsidR="003D5FF5" w:rsidRPr="00510AD0">
        <w:t>A</w:t>
      </w:r>
      <w:r w:rsidR="00862D74" w:rsidRPr="00510AD0">
        <w:t>greement</w:t>
      </w:r>
      <w:r w:rsidR="0090427E" w:rsidRPr="00510AD0">
        <w:t xml:space="preserve">.  </w:t>
      </w:r>
    </w:p>
    <w:p w14:paraId="516F0023" w14:textId="76849CB0" w:rsidR="0055205C" w:rsidRPr="00510AD0" w:rsidRDefault="0055205C" w:rsidP="00D74823">
      <w:pPr>
        <w:pStyle w:val="Heading4"/>
      </w:pPr>
      <w:bookmarkStart w:id="98" w:name="_Ref69141575"/>
      <w:r w:rsidRPr="00510AD0">
        <w:lastRenderedPageBreak/>
        <w:t>Buyer shall pay Seller for Product based on the amount (“Payment Quantity”) and fixed-price (“Contract Price”)</w:t>
      </w:r>
      <w:r w:rsidRPr="00510AD0" w:rsidDel="00CC1211">
        <w:rPr>
          <w:b/>
          <w:bCs/>
        </w:rPr>
        <w:t xml:space="preserve"> </w:t>
      </w:r>
      <w:r w:rsidRPr="00510AD0">
        <w:t xml:space="preserve">per unit during the applicable Contract Month, in each case, as listed on </w:t>
      </w:r>
      <w:r w:rsidRPr="00510AD0">
        <w:rPr>
          <w:u w:val="single"/>
        </w:rPr>
        <w:t>Appendix II</w:t>
      </w:r>
      <w:r w:rsidRPr="00510AD0">
        <w:t xml:space="preserve">.  All obligations of Seller under this Section </w:t>
      </w:r>
      <w:r w:rsidR="00286173" w:rsidRPr="00510AD0">
        <w:fldChar w:fldCharType="begin"/>
      </w:r>
      <w:r w:rsidR="00286173" w:rsidRPr="00510AD0">
        <w:instrText xml:space="preserve">  REF _Ref69141572 \w \h \* MERGEFORMAT </w:instrText>
      </w:r>
      <w:r w:rsidR="00286173" w:rsidRPr="00510AD0">
        <w:fldChar w:fldCharType="separate"/>
      </w:r>
      <w:r w:rsidR="007751F5" w:rsidRPr="00510AD0">
        <w:t>3.2(a)</w:t>
      </w:r>
      <w:r w:rsidR="00286173" w:rsidRPr="00510AD0">
        <w:fldChar w:fldCharType="end"/>
      </w:r>
      <w:r w:rsidRPr="00510AD0">
        <w:t xml:space="preserve">, and all Product deliverable to Buyer and compensation due to Seller under this Agreement are subject to and made in accordance with </w:t>
      </w:r>
      <w:r w:rsidR="008A0B74" w:rsidRPr="00510AD0">
        <w:fldChar w:fldCharType="begin"/>
      </w:r>
      <w:r w:rsidR="008A0B74" w:rsidRPr="00510AD0">
        <w:instrText xml:space="preserve"> REF _Ref69141600 \w \h </w:instrText>
      </w:r>
      <w:r w:rsidR="00510AD0">
        <w:instrText xml:space="preserve"> \* MERGEFORMAT </w:instrText>
      </w:r>
      <w:r w:rsidR="008A0B74" w:rsidRPr="00510AD0">
        <w:fldChar w:fldCharType="separate"/>
      </w:r>
      <w:r w:rsidR="007751F5" w:rsidRPr="00510AD0">
        <w:t>Article Five</w:t>
      </w:r>
      <w:r w:rsidR="008A0B74" w:rsidRPr="00510AD0">
        <w:fldChar w:fldCharType="end"/>
      </w:r>
      <w:r w:rsidRPr="00510AD0">
        <w:t xml:space="preserve"> </w:t>
      </w:r>
      <w:r w:rsidR="008A0B74" w:rsidRPr="00510AD0">
        <w:t>(</w:t>
      </w:r>
      <w:r w:rsidRPr="00510AD0">
        <w:t>Seller’s Delivery</w:t>
      </w:r>
      <w:r w:rsidR="008A0B74" w:rsidRPr="00510AD0">
        <w:t>)</w:t>
      </w:r>
      <w:r w:rsidRPr="00510AD0">
        <w:t xml:space="preserve">, </w:t>
      </w:r>
      <w:r w:rsidR="008A0B74" w:rsidRPr="00510AD0">
        <w:fldChar w:fldCharType="begin"/>
      </w:r>
      <w:r w:rsidR="008A0B74" w:rsidRPr="00510AD0">
        <w:instrText xml:space="preserve"> REF _Ref69141603 \w \h </w:instrText>
      </w:r>
      <w:r w:rsidR="00510AD0">
        <w:instrText xml:space="preserve"> \* MERGEFORMAT </w:instrText>
      </w:r>
      <w:r w:rsidR="008A0B74" w:rsidRPr="00510AD0">
        <w:fldChar w:fldCharType="separate"/>
      </w:r>
      <w:r w:rsidR="007751F5" w:rsidRPr="00510AD0">
        <w:t>Article Six</w:t>
      </w:r>
      <w:r w:rsidR="008A0B74" w:rsidRPr="00510AD0">
        <w:fldChar w:fldCharType="end"/>
      </w:r>
      <w:r w:rsidR="008A0B74" w:rsidRPr="00510AD0">
        <w:t xml:space="preserve"> (</w:t>
      </w:r>
      <w:r w:rsidRPr="00510AD0">
        <w:t>Compensation</w:t>
      </w:r>
      <w:r w:rsidR="008A0B74" w:rsidRPr="00510AD0">
        <w:t>)</w:t>
      </w:r>
      <w:r w:rsidRPr="00510AD0">
        <w:t xml:space="preserve"> and </w:t>
      </w:r>
      <w:r w:rsidR="008A0B74" w:rsidRPr="00510AD0">
        <w:fldChar w:fldCharType="begin"/>
      </w:r>
      <w:r w:rsidR="008A0B74" w:rsidRPr="00510AD0">
        <w:instrText xml:space="preserve"> REF _Ref69141649 \w \h </w:instrText>
      </w:r>
      <w:r w:rsidR="00510AD0">
        <w:instrText xml:space="preserve"> \* MERGEFORMAT </w:instrText>
      </w:r>
      <w:r w:rsidR="008A0B74" w:rsidRPr="00510AD0">
        <w:fldChar w:fldCharType="separate"/>
      </w:r>
      <w:r w:rsidR="007751F5" w:rsidRPr="00510AD0">
        <w:t>Article Nine</w:t>
      </w:r>
      <w:r w:rsidR="008A0B74" w:rsidRPr="00510AD0">
        <w:fldChar w:fldCharType="end"/>
      </w:r>
      <w:r w:rsidRPr="00510AD0">
        <w:t xml:space="preserve"> </w:t>
      </w:r>
      <w:r w:rsidR="008A0B74" w:rsidRPr="00510AD0">
        <w:t>(</w:t>
      </w:r>
      <w:r w:rsidRPr="00510AD0">
        <w:t>Payment and Netting</w:t>
      </w:r>
      <w:r w:rsidR="008A0B74" w:rsidRPr="00510AD0">
        <w:t>)</w:t>
      </w:r>
      <w:r w:rsidRPr="00510AD0">
        <w:t>.</w:t>
      </w:r>
      <w:bookmarkEnd w:id="98"/>
      <w:r w:rsidRPr="00510AD0">
        <w:t xml:space="preserve"> </w:t>
      </w:r>
    </w:p>
    <w:p w14:paraId="2A652631" w14:textId="62628784" w:rsidR="0055205C" w:rsidRPr="00510AD0" w:rsidRDefault="00862693" w:rsidP="00D74823">
      <w:pPr>
        <w:pStyle w:val="Heading4"/>
        <w:rPr>
          <w:u w:val="single"/>
        </w:rPr>
      </w:pPr>
      <w:bookmarkStart w:id="99" w:name="_Ref69141576"/>
      <w:bookmarkStart w:id="100" w:name="_Hlk65602170"/>
      <w:r w:rsidRPr="00510AD0">
        <w:t>[</w:t>
      </w:r>
      <w:bookmarkEnd w:id="99"/>
      <w:r w:rsidR="00CF7485" w:rsidRPr="00510AD0">
        <w:t>Reserved]</w:t>
      </w:r>
      <w:r w:rsidR="0055205C" w:rsidRPr="00510AD0" w:rsidDel="00246672">
        <w:rPr>
          <w:u w:val="single"/>
        </w:rPr>
        <w:t xml:space="preserve"> </w:t>
      </w:r>
    </w:p>
    <w:p w14:paraId="06DE2A03" w14:textId="2D34C01E" w:rsidR="00801144" w:rsidRPr="00510AD0" w:rsidRDefault="008C6743" w:rsidP="008C6743">
      <w:pPr>
        <w:pStyle w:val="Heading4"/>
      </w:pPr>
      <w:r w:rsidRPr="00510AD0">
        <w:t xml:space="preserve">In the event the CPUC, CAISO, other Governmental Authority or Person having jurisdiction over Capacity Attributes </w:t>
      </w:r>
      <w:r w:rsidR="006F3906" w:rsidRPr="00510AD0">
        <w:t>reduces the amount of Capacity Attributes that can be derived from the Project,</w:t>
      </w:r>
      <w:r w:rsidRPr="00510AD0">
        <w:t xml:space="preserve"> and such </w:t>
      </w:r>
      <w:r w:rsidR="006F3906" w:rsidRPr="00510AD0">
        <w:t xml:space="preserve">reduction </w:t>
      </w:r>
      <w:r w:rsidRPr="00510AD0">
        <w:t xml:space="preserve">results in the </w:t>
      </w:r>
      <w:r w:rsidR="003E3882" w:rsidRPr="00510AD0">
        <w:t>sum of all Capacity Attributes that can be derived from the Project d</w:t>
      </w:r>
      <w:r w:rsidR="00373384" w:rsidRPr="00510AD0">
        <w:t>ecreas</w:t>
      </w:r>
      <w:r w:rsidR="00F8065E" w:rsidRPr="00510AD0">
        <w:t>ing</w:t>
      </w:r>
      <w:r w:rsidR="00373384" w:rsidRPr="00510AD0">
        <w:t xml:space="preserve"> to </w:t>
      </w:r>
      <w:r w:rsidR="00650C8B" w:rsidRPr="00510AD0">
        <w:t xml:space="preserve">zero </w:t>
      </w:r>
      <w:r w:rsidR="00373384" w:rsidRPr="00510AD0">
        <w:t xml:space="preserve">(0) </w:t>
      </w:r>
      <w:r w:rsidR="00650C8B" w:rsidRPr="00510AD0">
        <w:t>MW</w:t>
      </w:r>
      <w:r w:rsidR="00373384" w:rsidRPr="00510AD0">
        <w:t xml:space="preserve"> in a </w:t>
      </w:r>
      <w:r w:rsidR="003D5FF5" w:rsidRPr="00510AD0">
        <w:t xml:space="preserve">twelve </w:t>
      </w:r>
      <w:r w:rsidR="00373384" w:rsidRPr="00510AD0">
        <w:t xml:space="preserve">(12) </w:t>
      </w:r>
      <w:r w:rsidR="003D5FF5" w:rsidRPr="00510AD0">
        <w:t>c</w:t>
      </w:r>
      <w:r w:rsidR="001017E1" w:rsidRPr="00510AD0">
        <w:t xml:space="preserve">alendar </w:t>
      </w:r>
      <w:r w:rsidR="003D5FF5" w:rsidRPr="00510AD0">
        <w:t>m</w:t>
      </w:r>
      <w:r w:rsidR="001017E1" w:rsidRPr="00510AD0">
        <w:t>onth</w:t>
      </w:r>
      <w:r w:rsidR="003D5FF5" w:rsidRPr="00510AD0">
        <w:t>s</w:t>
      </w:r>
      <w:r w:rsidR="001017E1" w:rsidRPr="00510AD0">
        <w:t xml:space="preserve"> period, Buyer shall have the right to terminate this </w:t>
      </w:r>
      <w:r w:rsidR="003D5FF5" w:rsidRPr="00510AD0">
        <w:t>A</w:t>
      </w:r>
      <w:r w:rsidR="001017E1" w:rsidRPr="00510AD0">
        <w:t xml:space="preserve">greement. </w:t>
      </w:r>
      <w:r w:rsidR="00801144" w:rsidRPr="00510AD0">
        <w:t>If Buyer exercises its termination right under this Section</w:t>
      </w:r>
      <w:r w:rsidR="0021281E" w:rsidRPr="00510AD0">
        <w:t xml:space="preserve"> </w:t>
      </w:r>
      <w:r w:rsidR="00B93A78" w:rsidRPr="00510AD0">
        <w:t>3.2(a)(v)</w:t>
      </w:r>
      <w:r w:rsidR="00801144" w:rsidRPr="00510AD0">
        <w:t>, no Termination Payment will be due or owing to either Party</w:t>
      </w:r>
      <w:r w:rsidR="003D5FF5" w:rsidRPr="00510AD0">
        <w:t xml:space="preserve"> (other than payment of any amounts due and outstanding prior to the date of termination), and Buyer shall return or release the </w:t>
      </w:r>
      <w:r w:rsidR="00AA1B4F" w:rsidRPr="00510AD0">
        <w:t>Performance Assurance</w:t>
      </w:r>
      <w:r w:rsidR="003D5FF5" w:rsidRPr="00510AD0">
        <w:t xml:space="preserve"> to Seller</w:t>
      </w:r>
      <w:r w:rsidR="00801144" w:rsidRPr="00510AD0">
        <w:t xml:space="preserve">.  Buyer’s termination of this Agreement will be effective five (5) Business Days after Buyer’s Notice to terminate is </w:t>
      </w:r>
      <w:r w:rsidR="003D5FF5" w:rsidRPr="00510AD0">
        <w:t xml:space="preserve">provided </w:t>
      </w:r>
      <w:r w:rsidR="00801144" w:rsidRPr="00510AD0">
        <w:t>to Seller.</w:t>
      </w:r>
    </w:p>
    <w:p w14:paraId="0576F9B9" w14:textId="77777777" w:rsidR="0055205C" w:rsidRPr="00510AD0" w:rsidRDefault="0055205C" w:rsidP="00D74823">
      <w:pPr>
        <w:pStyle w:val="Heading3"/>
      </w:pPr>
      <w:bookmarkStart w:id="101" w:name="_Ref69141577"/>
      <w:bookmarkEnd w:id="100"/>
      <w:r w:rsidRPr="00510AD0">
        <w:t>During the Term, Seller shall take all actions, including executing all documents or instruments, complying with all applicable registration, certification and reporting requirements of all applicable Governmental Authorities and other Persons, as such requirements may be amended from time to time, that are necessary to ensure that Buyer can use Product, including enabling Buyer to apply Product towards Buyer’s Compliance Obligations at all times during the Delivery Term.</w:t>
      </w:r>
      <w:bookmarkEnd w:id="101"/>
      <w:r w:rsidRPr="00510AD0">
        <w:t xml:space="preserve">  </w:t>
      </w:r>
    </w:p>
    <w:p w14:paraId="4056F278" w14:textId="77777777" w:rsidR="0055205C" w:rsidRPr="00510AD0" w:rsidRDefault="0055205C" w:rsidP="00D74823">
      <w:pPr>
        <w:pStyle w:val="Heading3"/>
      </w:pPr>
      <w:bookmarkStart w:id="102" w:name="_Ref69141578"/>
      <w:r w:rsidRPr="00510AD0">
        <w:t xml:space="preserve">Seller may sell Capacity Attributes from the Project in excess of Product </w:t>
      </w:r>
      <w:bookmarkStart w:id="103" w:name="DocXTextRef33"/>
      <w:r w:rsidRPr="00510AD0">
        <w:t>(i)</w:t>
      </w:r>
      <w:bookmarkEnd w:id="103"/>
      <w:r w:rsidRPr="00510AD0">
        <w:t xml:space="preserve"> to third parties, (ii) into the applicable market or (iii) to Buyer with Buyer’s prior agreement.</w:t>
      </w:r>
      <w:bookmarkEnd w:id="102"/>
      <w:r w:rsidRPr="00510AD0">
        <w:t xml:space="preserve"> </w:t>
      </w:r>
    </w:p>
    <w:p w14:paraId="62A0AB46" w14:textId="1F75C482" w:rsidR="0055205C" w:rsidRPr="00510AD0" w:rsidRDefault="0055205C" w:rsidP="00D74823">
      <w:pPr>
        <w:pStyle w:val="Heading3"/>
      </w:pPr>
      <w:bookmarkStart w:id="104" w:name="_Ref69141579"/>
      <w:r w:rsidRPr="00510AD0">
        <w:t>In the event a centralized capacity market develops within the WECC region, Buyer will have the exclusive right to offer, bid, or otherwise submit the Product for re-sale in such market, or to cause Seller , Project Company or the Project’s SC to do so, and Buyer shall retain and receive any and all related revenues.</w:t>
      </w:r>
      <w:bookmarkEnd w:id="104"/>
      <w:r w:rsidRPr="00510AD0">
        <w:t xml:space="preserve">  </w:t>
      </w:r>
    </w:p>
    <w:p w14:paraId="48D799C9" w14:textId="77777777" w:rsidR="0055205C" w:rsidRPr="00510AD0" w:rsidRDefault="0055205C" w:rsidP="0017021E">
      <w:pPr>
        <w:pStyle w:val="Heading2"/>
        <w:rPr>
          <w:vanish/>
          <w:specVanish/>
        </w:rPr>
      </w:pPr>
      <w:bookmarkStart w:id="105" w:name="_Ref69141580"/>
      <w:bookmarkStart w:id="106" w:name="_Toc70208367"/>
      <w:bookmarkStart w:id="107" w:name="_Toc81215017"/>
      <w:bookmarkStart w:id="108" w:name="_Toc78477790"/>
      <w:bookmarkStart w:id="109" w:name="_Toc99035828"/>
      <w:r w:rsidRPr="00510AD0">
        <w:t>Project Modifications</w:t>
      </w:r>
      <w:bookmarkEnd w:id="105"/>
      <w:bookmarkEnd w:id="106"/>
      <w:bookmarkEnd w:id="107"/>
      <w:bookmarkEnd w:id="108"/>
      <w:bookmarkEnd w:id="109"/>
    </w:p>
    <w:p w14:paraId="12338971" w14:textId="2FBA4731" w:rsidR="0055205C" w:rsidRPr="00510AD0" w:rsidRDefault="0055205C" w:rsidP="00E30D29">
      <w:r w:rsidRPr="00510AD0">
        <w:t xml:space="preserve">.  </w:t>
      </w:r>
      <w:r w:rsidR="00E30D29" w:rsidRPr="00510AD0">
        <w:t xml:space="preserve">During the Term, Project Company may modify, expand, alter or otherwise change any aspect of the Project, provided that if such modification, expansion, alteration or other change would impair or limit the Project’s ability to deliver the Product (a “Material Project Modification”) Seller shall Notify Buyer of such proposed Material Project Modification at least ten (10) Business Days prior to the start of Work for such Material Project Modification, and provided further that Seller shall not, and shall not grant any waiver or consent under the Seller Supply Agreement to enable Project Company or any other Person to, take any action that would, or may reasonably be expected to (a) alter, the Project description set forth in Part A of </w:t>
      </w:r>
      <w:r w:rsidR="00E30D29" w:rsidRPr="00405ECB">
        <w:t>Appendix II</w:t>
      </w:r>
      <w:r w:rsidR="00E30D29" w:rsidRPr="00510AD0">
        <w:t xml:space="preserve"> as of the Execution Date or (b) cause or render the Project to operate in a manner that is not consistent with the Safety Requirements. For the avoidance of doubt, no modification, expansion, alternation or other change to the Project shall alter or relieve any of Seller’s obligations under this Agreement</w:t>
      </w:r>
      <w:r w:rsidR="006E66CD" w:rsidRPr="00510AD0">
        <w:t>.</w:t>
      </w:r>
    </w:p>
    <w:p w14:paraId="5E2C6A39" w14:textId="77777777" w:rsidR="0055205C" w:rsidRPr="00510AD0" w:rsidRDefault="0055205C" w:rsidP="0017021E">
      <w:pPr>
        <w:pStyle w:val="Heading2"/>
        <w:rPr>
          <w:vanish/>
          <w:specVanish/>
        </w:rPr>
      </w:pPr>
      <w:bookmarkStart w:id="110" w:name="_Ref69141581"/>
      <w:bookmarkStart w:id="111" w:name="_Toc70208368"/>
      <w:bookmarkStart w:id="112" w:name="_Toc81215018"/>
      <w:bookmarkStart w:id="113" w:name="_Toc78477791"/>
      <w:bookmarkStart w:id="114" w:name="_Toc99035829"/>
      <w:r w:rsidRPr="00510AD0">
        <w:lastRenderedPageBreak/>
        <w:t>Information Sharing</w:t>
      </w:r>
      <w:bookmarkEnd w:id="110"/>
      <w:bookmarkEnd w:id="111"/>
      <w:bookmarkEnd w:id="112"/>
      <w:bookmarkEnd w:id="113"/>
      <w:bookmarkEnd w:id="114"/>
    </w:p>
    <w:p w14:paraId="68F3F30F" w14:textId="64EE6A80" w:rsidR="0055205C" w:rsidRPr="00510AD0" w:rsidRDefault="0055205C" w:rsidP="00727F6E">
      <w:pPr>
        <w:pStyle w:val="Heading2Continued"/>
      </w:pPr>
      <w:r w:rsidRPr="00510AD0">
        <w:t xml:space="preserve">.  </w:t>
      </w:r>
      <w:r w:rsidR="001E0E59" w:rsidRPr="00510AD0">
        <w:t xml:space="preserve">Throughout the Term Seller agrees, upon Buyer’s request, to provide information, or subject to Section </w:t>
      </w:r>
      <w:r w:rsidR="00E30D29" w:rsidRPr="00510AD0">
        <w:t>14.4</w:t>
      </w:r>
      <w:r w:rsidR="001E0E59" w:rsidRPr="00510AD0">
        <w:t xml:space="preserve"> cause the Project Company or the Project’s SC to provide information, including meter data and any operational information related to bidding the Project into the wholesale energy market, to Buyer in its capacity as a Central Procurement Entity </w:t>
      </w:r>
      <w:r w:rsidR="00E70175" w:rsidRPr="00510AD0">
        <w:t>[</w:t>
      </w:r>
      <w:r w:rsidR="001E0E59" w:rsidRPr="00510AD0">
        <w:t>as well as Project specific information set forth in Part 2 of Appendix XIV</w:t>
      </w:r>
      <w:r w:rsidR="00E70175" w:rsidRPr="00510AD0">
        <w:t>]</w:t>
      </w:r>
      <w:r w:rsidR="001E0E59" w:rsidRPr="00510AD0">
        <w:t>.</w:t>
      </w:r>
      <w:r w:rsidR="006E66CD" w:rsidRPr="00510AD0">
        <w:rPr>
          <w:rStyle w:val="FootnoteReference"/>
        </w:rPr>
        <w:footnoteReference w:id="16"/>
      </w:r>
      <w:r w:rsidR="001E0E59" w:rsidRPr="00510AD0">
        <w:t xml:space="preserve">  Such information shall be treated by Buyer as Confidential Information.  Any applicable data shall be provided to Buyer in a format and to a platform specified by Buyer that is reasonably acceptable to Seller within five (5) Business Days of Buyer’s request</w:t>
      </w:r>
      <w:r w:rsidRPr="00510AD0">
        <w:t xml:space="preserve">.  </w:t>
      </w:r>
    </w:p>
    <w:p w14:paraId="71C064EE" w14:textId="77777777" w:rsidR="0055205C" w:rsidRPr="00510AD0" w:rsidRDefault="0055205C" w:rsidP="0017021E">
      <w:pPr>
        <w:pStyle w:val="Heading2"/>
        <w:rPr>
          <w:vanish/>
          <w:specVanish/>
        </w:rPr>
      </w:pPr>
      <w:bookmarkStart w:id="115" w:name="_Ref69141582"/>
      <w:bookmarkStart w:id="116" w:name="_Toc70208369"/>
      <w:bookmarkStart w:id="117" w:name="_Toc81215019"/>
      <w:bookmarkStart w:id="118" w:name="_Toc78477792"/>
      <w:bookmarkStart w:id="119" w:name="_Toc99035830"/>
      <w:r w:rsidRPr="00510AD0">
        <w:t>Certification of Product</w:t>
      </w:r>
      <w:bookmarkEnd w:id="115"/>
      <w:bookmarkEnd w:id="116"/>
      <w:bookmarkEnd w:id="117"/>
      <w:bookmarkEnd w:id="118"/>
      <w:bookmarkEnd w:id="119"/>
    </w:p>
    <w:p w14:paraId="7CED0088" w14:textId="151011C7" w:rsidR="0055205C" w:rsidRPr="00510AD0" w:rsidRDefault="0055205C" w:rsidP="00727F6E">
      <w:pPr>
        <w:pStyle w:val="Heading2Continued"/>
      </w:pPr>
      <w:r w:rsidRPr="00510AD0">
        <w:t>.  During the Delivery Term, Seller shall</w:t>
      </w:r>
      <w:bookmarkStart w:id="120" w:name="_Hlk64927490"/>
      <w:r w:rsidRPr="00510AD0">
        <w:t>, or shall cause the Project Company to</w:t>
      </w:r>
      <w:bookmarkEnd w:id="120"/>
      <w:r w:rsidRPr="00510AD0">
        <w:t xml:space="preserve">, at no cost to Buyer, obtain and maintain CAISO and all applicable Governmental Authority certification(s) for all elements of the Product for which certification is or may become required in order to enable Buyer to receive and use such Product, including use of such Product to satisfy its Compliance Obligations.  If Buyer is required under applicable Law to obtain such certification, Seller shall, or shall cause the Project Company to, </w:t>
      </w:r>
      <w:r w:rsidR="00CC50B8" w:rsidRPr="00510AD0">
        <w:t>t</w:t>
      </w:r>
      <w:r w:rsidRPr="00510AD0">
        <w:t>ake all actions within its control to ensure that Buyer is able to secure such certification.  Seller shall, or shall cause the Project Company to, at no cost to Buyer,</w:t>
      </w:r>
      <w:r w:rsidR="00324F74" w:rsidRPr="00510AD0">
        <w:t xml:space="preserve"> </w:t>
      </w:r>
      <w:r w:rsidRPr="00510AD0">
        <w:t>take all other actions during the Delivery Term, including submission of all reports and other filings with CAISO and applicable Governmental Authorities, that are required to be taken by Seller or Project Company to ensure that Buyer can receive the Product and shall take all actions within its control to assist Buyer in taking actions required to be taken by Buyer with regard to receipt of Product.</w:t>
      </w:r>
    </w:p>
    <w:p w14:paraId="2B3A6E33" w14:textId="77777777" w:rsidR="0055205C" w:rsidRPr="00510AD0" w:rsidRDefault="0055205C" w:rsidP="0017021E">
      <w:pPr>
        <w:pStyle w:val="Heading2"/>
        <w:rPr>
          <w:vanish/>
          <w:specVanish/>
        </w:rPr>
      </w:pPr>
      <w:bookmarkStart w:id="121" w:name="_Ref69141583"/>
      <w:bookmarkStart w:id="122" w:name="_Toc70208370"/>
      <w:bookmarkStart w:id="123" w:name="_Toc81215020"/>
      <w:bookmarkStart w:id="124" w:name="_Toc78477793"/>
      <w:bookmarkStart w:id="125" w:name="_Toc99035831"/>
      <w:r w:rsidRPr="00510AD0">
        <w:t>Delivery of Product: Buyer Compliance Showings</w:t>
      </w:r>
      <w:bookmarkEnd w:id="121"/>
      <w:bookmarkEnd w:id="122"/>
      <w:bookmarkEnd w:id="123"/>
      <w:bookmarkEnd w:id="124"/>
      <w:bookmarkEnd w:id="125"/>
    </w:p>
    <w:p w14:paraId="7BA259B0" w14:textId="77777777" w:rsidR="0055205C" w:rsidRPr="00510AD0" w:rsidRDefault="0055205C" w:rsidP="00727F6E">
      <w:pPr>
        <w:pStyle w:val="Heading2Continued"/>
      </w:pPr>
      <w:r w:rsidRPr="00510AD0">
        <w:t xml:space="preserve">.  </w:t>
      </w:r>
    </w:p>
    <w:p w14:paraId="1E57B9DD" w14:textId="2DB9E3FD" w:rsidR="0055205C" w:rsidRPr="00510AD0" w:rsidRDefault="0055205C" w:rsidP="00944B68">
      <w:pPr>
        <w:pStyle w:val="Heading3"/>
      </w:pPr>
      <w:bookmarkStart w:id="126" w:name="_Ref69141584"/>
      <w:r w:rsidRPr="00510AD0">
        <w:t>Seller shall submit, or cause</w:t>
      </w:r>
      <w:r w:rsidR="00944B68" w:rsidRPr="00510AD0">
        <w:t xml:space="preserve"> the Project’s SC to submit</w:t>
      </w:r>
      <w:r w:rsidRPr="00510AD0">
        <w:t xml:space="preserve">, a Supply Plan to CAISO to identify and confirm the Product to be delivered to Buyer, or with regard to Resold Product Buyer’s designee, for each Showing Year and each Showing Month for the duration of the Delivery Term.  For each of the Capacity Attributes from the Project that Seller submits in its Supply Plan in the applicable Showing Year and Showing Month, Seller shall not submit an amount greater than the amount of each of the respective Capacity Attributes of Product as provided in Section </w:t>
      </w:r>
      <w:r w:rsidR="00286173" w:rsidRPr="00510AD0">
        <w:fldChar w:fldCharType="begin"/>
      </w:r>
      <w:r w:rsidR="00286173" w:rsidRPr="00510AD0">
        <w:instrText xml:space="preserve">  REF _Ref69141571 \w \h \* MERGEFORMAT </w:instrText>
      </w:r>
      <w:r w:rsidR="00286173" w:rsidRPr="00510AD0">
        <w:fldChar w:fldCharType="separate"/>
      </w:r>
      <w:r w:rsidR="007751F5" w:rsidRPr="00510AD0">
        <w:t>3.2</w:t>
      </w:r>
      <w:r w:rsidR="00286173" w:rsidRPr="00510AD0">
        <w:fldChar w:fldCharType="end"/>
      </w:r>
      <w:r w:rsidRPr="00510AD0">
        <w:t xml:space="preserve">.  The </w:t>
      </w:r>
      <w:r w:rsidR="006E66CD" w:rsidRPr="00510AD0">
        <w:t>amount</w:t>
      </w:r>
      <w:r w:rsidRPr="00510AD0">
        <w:t xml:space="preserve"> that Seller submits for each of the Capacity Attributes in a Supply Plan shall be deemed to be the amount of each of the Capacity Attributes of Product that Seller has delivered for such Showing Year or Showing Month, as applicable (“Delivered Quantities”).</w:t>
      </w:r>
      <w:bookmarkEnd w:id="126"/>
      <w:r w:rsidRPr="00510AD0">
        <w:t xml:space="preserve"> </w:t>
      </w:r>
    </w:p>
    <w:p w14:paraId="26820FC1" w14:textId="76B7E425" w:rsidR="0055205C" w:rsidRPr="00510AD0" w:rsidRDefault="0055205C" w:rsidP="00D74823">
      <w:pPr>
        <w:pStyle w:val="Heading3"/>
      </w:pPr>
      <w:bookmarkStart w:id="127" w:name="_Ref69141585"/>
      <w:r w:rsidRPr="00510AD0">
        <w:t xml:space="preserve">No later than fifteen (15) Business Days prior to the applicable Compliance Showing deadlines for each Showing Year and Showing Month, Seller shall submit, or cause </w:t>
      </w:r>
      <w:r w:rsidR="00AC4B5F" w:rsidRPr="00510AD0">
        <w:t xml:space="preserve">the Project’s </w:t>
      </w:r>
      <w:r w:rsidRPr="00510AD0">
        <w:t xml:space="preserve">SC to submit, a Notice to Buyer which includes Seller’s proposed Supply Plan for such Showing Year or Showing Month in a format and to a platform as Notified by Buyer to Seller prior to such deadline.  No later than ten (10) Business Days before the applicable Compliance Showing deadlines for each Showing Year or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w:t>
      </w:r>
      <w:r w:rsidRPr="00510AD0">
        <w:lastRenderedPageBreak/>
        <w:t>to the proposed Supply Plan, Seller shall submit the Supply Plan to CAISO as it was proposed by Notice to Buyer.</w:t>
      </w:r>
      <w:bookmarkEnd w:id="127"/>
    </w:p>
    <w:p w14:paraId="66A328FE" w14:textId="77777777" w:rsidR="0055205C" w:rsidRPr="00510AD0" w:rsidRDefault="0055205C" w:rsidP="00E50639">
      <w:pPr>
        <w:pStyle w:val="Heading1"/>
      </w:pPr>
      <w:bookmarkStart w:id="128" w:name="_Toc70208371"/>
      <w:bookmarkStart w:id="129" w:name="_Toc81215021"/>
      <w:bookmarkStart w:id="130" w:name="_Toc78477794"/>
      <w:bookmarkStart w:id="131" w:name="_Toc99035832"/>
      <w:r w:rsidRPr="00510AD0">
        <w:br/>
      </w:r>
      <w:bookmarkStart w:id="132" w:name="_Ref69141586"/>
      <w:r w:rsidRPr="00510AD0">
        <w:t>INTERCONNECTION &amp; OPERATIONS</w:t>
      </w:r>
      <w:bookmarkEnd w:id="128"/>
      <w:bookmarkEnd w:id="129"/>
      <w:bookmarkEnd w:id="130"/>
      <w:bookmarkEnd w:id="131"/>
      <w:bookmarkEnd w:id="132"/>
    </w:p>
    <w:p w14:paraId="6FEF62DB" w14:textId="77777777" w:rsidR="00AC65BF" w:rsidRPr="00510AD0" w:rsidRDefault="0055205C" w:rsidP="00FC7310">
      <w:pPr>
        <w:pStyle w:val="Heading2"/>
        <w:rPr>
          <w:vanish/>
          <w:specVanish/>
        </w:rPr>
      </w:pPr>
      <w:bookmarkStart w:id="133" w:name="_Toc99035833"/>
      <w:bookmarkStart w:id="134" w:name="_Ref69141587"/>
      <w:bookmarkStart w:id="135" w:name="_Toc70208372"/>
      <w:bookmarkStart w:id="136" w:name="_Toc81215022"/>
      <w:bookmarkStart w:id="137" w:name="_Toc78477795"/>
      <w:r w:rsidRPr="00510AD0">
        <w:t>Interconnection Agreement</w:t>
      </w:r>
      <w:bookmarkEnd w:id="133"/>
    </w:p>
    <w:p w14:paraId="7D5860FE" w14:textId="43DC89A5" w:rsidR="00CB28E4" w:rsidRPr="00510AD0" w:rsidRDefault="00AC65BF" w:rsidP="0063098B">
      <w:pPr>
        <w:pStyle w:val="HeadingBody2"/>
      </w:pPr>
      <w:r w:rsidRPr="00510AD0">
        <w:t>.</w:t>
      </w:r>
      <w:bookmarkStart w:id="138" w:name="_Ref69141588"/>
      <w:bookmarkEnd w:id="134"/>
      <w:bookmarkEnd w:id="135"/>
      <w:bookmarkEnd w:id="136"/>
      <w:bookmarkEnd w:id="137"/>
      <w:r w:rsidR="002A7A54" w:rsidRPr="00510AD0">
        <w:t xml:space="preserve"> </w:t>
      </w:r>
      <w:r w:rsidR="00CD0488" w:rsidRPr="00510AD0">
        <w:t>At Seller’s expense, Seller shall, or shall cause the Project Company to, (i) comply with all terms and conditions contained in the Interconnection Agreements as necessary for the safe and reliable delivery of the Product, and (ii) arrange, schedule and be responsible for any and all electric distribution and transmission service (including any Governmental Approvals required for the foregoing). At no cost or liability to Buyer, Seller shall, or shall cause the Project Company to, fulfill all contractual, metering and applicable interconnection requirements,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(i) Participating TO or (ii) Utility Distribution Company for the Project.</w:t>
      </w:r>
      <w:bookmarkEnd w:id="138"/>
    </w:p>
    <w:p w14:paraId="0C2CC862" w14:textId="77777777" w:rsidR="0055205C" w:rsidRPr="00510AD0" w:rsidRDefault="0055205C" w:rsidP="0017021E">
      <w:pPr>
        <w:pStyle w:val="Heading2"/>
        <w:rPr>
          <w:vanish/>
          <w:specVanish/>
        </w:rPr>
      </w:pPr>
      <w:bookmarkStart w:id="139" w:name="_Ref69141590"/>
      <w:bookmarkStart w:id="140" w:name="_Toc70208373"/>
      <w:bookmarkStart w:id="141" w:name="_Toc81215023"/>
      <w:bookmarkStart w:id="142" w:name="_Toc78477796"/>
      <w:bookmarkStart w:id="143" w:name="_Toc99035834"/>
      <w:r w:rsidRPr="00510AD0">
        <w:t>Operations</w:t>
      </w:r>
      <w:bookmarkEnd w:id="139"/>
      <w:bookmarkEnd w:id="140"/>
      <w:bookmarkEnd w:id="141"/>
      <w:bookmarkEnd w:id="142"/>
      <w:bookmarkEnd w:id="143"/>
    </w:p>
    <w:p w14:paraId="2D1013C5" w14:textId="4787AE46" w:rsidR="0055205C" w:rsidRPr="00510AD0" w:rsidRDefault="0055205C" w:rsidP="00727F6E">
      <w:pPr>
        <w:pStyle w:val="Heading2Continued"/>
      </w:pPr>
      <w:r w:rsidRPr="00510AD0">
        <w:t>. Seller shall, or shall cause the Project Company to, at all times retain operational control of the Project and be responsible for operation and maintenance of the Project</w:t>
      </w:r>
      <w:r w:rsidR="001A44A1" w:rsidRPr="00510AD0">
        <w:t xml:space="preserve"> (other than assignments or transfers permitted under the terms of the Seller Supply Agreement and to the extent such assignment or transfer will not result, or is not reasonably expected to result, in the Project being unable to deliver the full amount of Product as required under this Agreement).</w:t>
      </w:r>
      <w:r w:rsidRPr="00510AD0">
        <w:t xml:space="preserve"> Buyer will not bear any costs or liability related to ownership, operation and maintenance of the Project.  </w:t>
      </w:r>
    </w:p>
    <w:p w14:paraId="5CD340EF" w14:textId="77777777" w:rsidR="0055205C" w:rsidRPr="00510AD0" w:rsidRDefault="0055205C" w:rsidP="0017021E">
      <w:pPr>
        <w:pStyle w:val="Heading2"/>
        <w:rPr>
          <w:vanish/>
          <w:specVanish/>
        </w:rPr>
      </w:pPr>
      <w:bookmarkStart w:id="144" w:name="_Ref69141591"/>
      <w:bookmarkStart w:id="145" w:name="_Toc70208374"/>
      <w:bookmarkStart w:id="146" w:name="_Toc81215024"/>
      <w:bookmarkStart w:id="147" w:name="_Toc78477797"/>
      <w:bookmarkStart w:id="148" w:name="_Toc99035835"/>
      <w:r w:rsidRPr="00510AD0">
        <w:t>Metering</w:t>
      </w:r>
      <w:bookmarkEnd w:id="144"/>
      <w:bookmarkEnd w:id="145"/>
      <w:bookmarkEnd w:id="146"/>
      <w:bookmarkEnd w:id="147"/>
      <w:bookmarkEnd w:id="148"/>
    </w:p>
    <w:p w14:paraId="2F6EFEE5" w14:textId="2080B869" w:rsidR="0055205C" w:rsidRPr="00510AD0" w:rsidRDefault="0055205C" w:rsidP="00727F6E">
      <w:pPr>
        <w:pStyle w:val="Heading2Continued"/>
      </w:pPr>
      <w:r w:rsidRPr="00510AD0">
        <w:t>.  At Seller’s expense, Seller shall</w:t>
      </w:r>
      <w:r w:rsidR="008C68FC" w:rsidRPr="00510AD0">
        <w:t>, or cause the Project Company to,</w:t>
      </w:r>
      <w:r w:rsidRPr="00510AD0">
        <w:t xml:space="preserve"> </w:t>
      </w:r>
      <w:bookmarkStart w:id="149" w:name="DocXTextRef40"/>
      <w:r w:rsidRPr="00510AD0">
        <w:t>(a)</w:t>
      </w:r>
      <w:bookmarkEnd w:id="149"/>
      <w:r w:rsidRPr="00510AD0">
        <w:t xml:space="preserve"> in the case of Front of the Meter Project, obtain and maintain a single CAISO Resource ID dedicated exclusively to the Project and install all necessary metering and telemetry required by the CAISO to deliver the Product and </w:t>
      </w:r>
      <w:bookmarkStart w:id="150" w:name="DocXTextRef41"/>
      <w:r w:rsidRPr="00510AD0">
        <w:t>(b)</w:t>
      </w:r>
      <w:bookmarkEnd w:id="150"/>
      <w:r w:rsidRPr="00510AD0">
        <w:t xml:space="preserve"> in the case of Behind the Meter Project, install, or shall cause the Customers in Seller’s Portfolio to install all necessary metering and telemetry required by the CAISO to deliver the Product</w:t>
      </w:r>
    </w:p>
    <w:p w14:paraId="50356A83" w14:textId="77777777" w:rsidR="0055205C" w:rsidRPr="00510AD0" w:rsidRDefault="0055205C" w:rsidP="0017021E">
      <w:pPr>
        <w:pStyle w:val="Heading2"/>
      </w:pPr>
      <w:bookmarkStart w:id="151" w:name="_Ref69141592"/>
      <w:bookmarkStart w:id="152" w:name="_Toc70208375"/>
      <w:bookmarkStart w:id="153" w:name="_Toc81215025"/>
      <w:bookmarkStart w:id="154" w:name="_Toc78477798"/>
      <w:bookmarkStart w:id="155" w:name="_Toc99035836"/>
      <w:r w:rsidRPr="00510AD0">
        <w:t>Scheduling.</w:t>
      </w:r>
      <w:bookmarkEnd w:id="151"/>
      <w:bookmarkEnd w:id="152"/>
      <w:bookmarkEnd w:id="153"/>
      <w:bookmarkEnd w:id="154"/>
      <w:bookmarkEnd w:id="155"/>
    </w:p>
    <w:p w14:paraId="2C43FCD5" w14:textId="143FE9CE" w:rsidR="0055205C" w:rsidRPr="00510AD0" w:rsidRDefault="0055205C" w:rsidP="00D74823">
      <w:pPr>
        <w:pStyle w:val="Heading3"/>
      </w:pPr>
      <w:bookmarkStart w:id="156" w:name="_Ref69141593"/>
      <w:r w:rsidRPr="00510AD0">
        <w:t xml:space="preserve">Seller or the Project Company shall be the SC or shall designate a qualified third party to fulfill such role for the Project in order to </w:t>
      </w:r>
      <w:bookmarkStart w:id="157" w:name="_Hlk63948530"/>
      <w:r w:rsidRPr="00510AD0">
        <w:t xml:space="preserve">deliver Product to Buyer during the Delivery Term </w:t>
      </w:r>
      <w:bookmarkEnd w:id="157"/>
      <w:r w:rsidRPr="00510AD0">
        <w:t>in accordance with the terms of this Agreement.  Seller shall be solely responsible for all costs associated with the SC.  Seller shall take, or cause the Project Company and the Project’s SC to take, all necessary steps to qualify itself and the Project in such other manner identified and approved by the CAISO and CPUC that permits Seller to provide Product to Buyer.</w:t>
      </w:r>
      <w:bookmarkEnd w:id="156"/>
      <w:r w:rsidRPr="00510AD0">
        <w:t xml:space="preserve"> </w:t>
      </w:r>
    </w:p>
    <w:p w14:paraId="474737AB" w14:textId="72F94997" w:rsidR="0055205C" w:rsidRPr="00510AD0" w:rsidRDefault="0055205C" w:rsidP="00D74823">
      <w:pPr>
        <w:pStyle w:val="Heading3"/>
      </w:pPr>
      <w:bookmarkStart w:id="158" w:name="_Ref69141594"/>
      <w:r w:rsidRPr="00510AD0">
        <w:t>Seller shall comply, and</w:t>
      </w:r>
      <w:r w:rsidR="00CC50B8" w:rsidRPr="00510AD0">
        <w:t xml:space="preserve"> </w:t>
      </w:r>
      <w:r w:rsidRPr="00510AD0">
        <w:t xml:space="preserve">shall cause the Project Company and the Project’s SC (and if Behind the Meter Project, Customers, and each Unit owner and operator) to comply, with all applicable CAISO Tariff provisions, CPUC Decisions and all other applicable rules, </w:t>
      </w:r>
      <w:r w:rsidRPr="00510AD0">
        <w:lastRenderedPageBreak/>
        <w:t>requirements or Laws, including any Bidding of the Project to meet any Must Offer Obligations, in order to deliver the Product to Buyer and allow Buyer to use the Product, including use of the Product to satisfy Buyer’s Compliance Obligations.</w:t>
      </w:r>
      <w:bookmarkEnd w:id="158"/>
      <w:r w:rsidRPr="00510AD0">
        <w:t xml:space="preserve"> </w:t>
      </w:r>
    </w:p>
    <w:p w14:paraId="122F6F1E" w14:textId="60892A2D" w:rsidR="0055205C" w:rsidRPr="00510AD0" w:rsidRDefault="0055205C" w:rsidP="00D74823">
      <w:pPr>
        <w:pStyle w:val="Heading3"/>
      </w:pPr>
      <w:bookmarkStart w:id="159" w:name="_Ref69141595"/>
      <w:r w:rsidRPr="00510AD0">
        <w:t>Buyer shall have no liability for the failure of Seller, the Project Company</w:t>
      </w:r>
      <w:r w:rsidR="00CC50B8" w:rsidRPr="00510AD0">
        <w:t xml:space="preserve"> </w:t>
      </w:r>
      <w:r w:rsidRPr="00510AD0">
        <w:t>or the Project’s SC (and if Behind the Meter Project, Customers, and each Unit owner and operator) to comply with CAISO Tariff provisions, including any penalties, charges or fines imposed on Seller or SC (and if Behind the Meter Project, any Customer, Unit owner or operator) for such noncompliance.</w:t>
      </w:r>
      <w:bookmarkEnd w:id="159"/>
      <w:r w:rsidRPr="00510AD0">
        <w:t xml:space="preserve"> </w:t>
      </w:r>
    </w:p>
    <w:p w14:paraId="40C69D20" w14:textId="77985CCB" w:rsidR="0055205C" w:rsidRPr="00510AD0" w:rsidRDefault="0055205C" w:rsidP="00D74823">
      <w:pPr>
        <w:pStyle w:val="Heading3"/>
      </w:pPr>
      <w:bookmarkStart w:id="160" w:name="_Ref69141596"/>
      <w:r w:rsidRPr="00510AD0">
        <w:t>Seller shall not accept, and shall cause</w:t>
      </w:r>
      <w:r w:rsidR="00982404" w:rsidRPr="00510AD0">
        <w:t xml:space="preserve"> </w:t>
      </w:r>
      <w:r w:rsidRPr="00510AD0">
        <w:t xml:space="preserve">the Project Company and the Project’s SC to not accept, any proposed CPM or RMR designation by the CAISO unless and until Buyer has agreed to accept such designation.  In addition, Seller shall promptly Notify, or cause the Project Company or the Project’s SC to promptly Notify, Buyer within one (1) Business Day after the time Seller, the Project Company or the Project’s SC receives a proposal from CAISO to designate any portion of the Product as CPM Capacity or RMR Generation.  </w:t>
      </w:r>
      <w:bookmarkStart w:id="161" w:name="_Hlk87280095"/>
      <w:r w:rsidR="009C26F5" w:rsidRPr="00510AD0">
        <w:t>Seller shall not submit</w:t>
      </w:r>
      <w:r w:rsidR="00414275" w:rsidRPr="00510AD0">
        <w:t xml:space="preserve">, and shall not permit the Project Company to submit, </w:t>
      </w:r>
      <w:r w:rsidR="009C26F5" w:rsidRPr="00510AD0">
        <w:t xml:space="preserve">a notice of </w:t>
      </w:r>
      <w:r w:rsidR="007F1518" w:rsidRPr="00510AD0">
        <w:t xml:space="preserve">its </w:t>
      </w:r>
      <w:r w:rsidR="009C26F5" w:rsidRPr="00510AD0">
        <w:t xml:space="preserve">intent to retire or mothball the Project under the CAISO Tariff </w:t>
      </w:r>
      <w:r w:rsidR="003D5FF5" w:rsidRPr="00510AD0">
        <w:t>where the e</w:t>
      </w:r>
      <w:r w:rsidR="009C26F5" w:rsidRPr="00510AD0">
        <w:t>ffective date for the retirement or mothball is prior to the end of the Delivery Term</w:t>
      </w:r>
      <w:bookmarkEnd w:id="161"/>
      <w:r w:rsidR="009C26F5" w:rsidRPr="00510AD0">
        <w:t>.</w:t>
      </w:r>
      <w:bookmarkEnd w:id="160"/>
    </w:p>
    <w:p w14:paraId="1E86BC8E" w14:textId="1F5AB2B6" w:rsidR="0055205C" w:rsidRPr="00510AD0" w:rsidRDefault="00E70175" w:rsidP="0017021E">
      <w:pPr>
        <w:pStyle w:val="Heading2"/>
        <w:rPr>
          <w:vanish/>
          <w:specVanish/>
        </w:rPr>
      </w:pPr>
      <w:bookmarkStart w:id="162" w:name="_Ref69141597"/>
      <w:bookmarkStart w:id="163" w:name="_Toc70208376"/>
      <w:bookmarkStart w:id="164" w:name="_Toc81215026"/>
      <w:bookmarkStart w:id="165" w:name="_Toc78477799"/>
      <w:bookmarkStart w:id="166" w:name="_Toc99035837"/>
      <w:r w:rsidRPr="00510AD0">
        <w:t>[</w:t>
      </w:r>
      <w:r w:rsidR="0055205C" w:rsidRPr="00510AD0">
        <w:t>Project Specific Requirements</w:t>
      </w:r>
      <w:bookmarkEnd w:id="162"/>
      <w:bookmarkEnd w:id="163"/>
      <w:bookmarkEnd w:id="164"/>
      <w:bookmarkEnd w:id="165"/>
      <w:bookmarkEnd w:id="166"/>
    </w:p>
    <w:p w14:paraId="31FC4497" w14:textId="7B438EF3" w:rsidR="0055205C" w:rsidRPr="00510AD0" w:rsidRDefault="0055205C" w:rsidP="00727F6E">
      <w:pPr>
        <w:pStyle w:val="Heading2Continued"/>
      </w:pPr>
      <w:r w:rsidRPr="00510AD0">
        <w:t>. Seller shall comply,</w:t>
      </w:r>
      <w:r w:rsidR="00E30D29" w:rsidRPr="00510AD0">
        <w:t xml:space="preserve"> </w:t>
      </w:r>
      <w:r w:rsidRPr="00510AD0">
        <w:t>or</w:t>
      </w:r>
      <w:r w:rsidR="006D0CEA" w:rsidRPr="00510AD0">
        <w:t xml:space="preserve"> </w:t>
      </w:r>
      <w:r w:rsidRPr="00510AD0">
        <w:t xml:space="preserve">cause the Project Company to comply, with the Project specific interconnection and operation requirements set forth in Part </w:t>
      </w:r>
      <w:bookmarkStart w:id="167" w:name="DocXTextRef42"/>
      <w:r w:rsidRPr="00510AD0">
        <w:t>3</w:t>
      </w:r>
      <w:bookmarkEnd w:id="167"/>
      <w:r w:rsidRPr="00510AD0">
        <w:t xml:space="preserve"> of </w:t>
      </w:r>
      <w:r w:rsidRPr="00510AD0">
        <w:rPr>
          <w:u w:val="single"/>
        </w:rPr>
        <w:t>Appendix XIV</w:t>
      </w:r>
      <w:r w:rsidRPr="00510AD0">
        <w:t>.</w:t>
      </w:r>
      <w:r w:rsidR="00E70175" w:rsidRPr="00510AD0">
        <w:t>]</w:t>
      </w:r>
      <w:r w:rsidR="006E66CD" w:rsidRPr="00510AD0">
        <w:rPr>
          <w:rStyle w:val="FootnoteReference"/>
        </w:rPr>
        <w:footnoteReference w:id="17"/>
      </w:r>
    </w:p>
    <w:p w14:paraId="0C8C7288" w14:textId="7742D9E2" w:rsidR="006E66CD" w:rsidRPr="00510AD0" w:rsidRDefault="006E66CD">
      <w:pPr>
        <w:pStyle w:val="Heading2"/>
      </w:pPr>
      <w:bookmarkStart w:id="168" w:name="_Ref69141599"/>
      <w:bookmarkStart w:id="169" w:name="_Toc70208378"/>
      <w:bookmarkStart w:id="170" w:name="_Toc81215028"/>
      <w:bookmarkStart w:id="171" w:name="_Toc78477801"/>
      <w:bookmarkStart w:id="172" w:name="_Toc99035839"/>
      <w:r w:rsidRPr="00510AD0">
        <w:rPr>
          <w:u w:val="none"/>
        </w:rPr>
        <w:t>[Reserved]</w:t>
      </w:r>
    </w:p>
    <w:p w14:paraId="4CF8C839" w14:textId="77777777" w:rsidR="0055205C" w:rsidRPr="00510AD0" w:rsidRDefault="0055205C" w:rsidP="0017021E">
      <w:pPr>
        <w:pStyle w:val="Heading2"/>
        <w:rPr>
          <w:vanish/>
          <w:specVanish/>
        </w:rPr>
      </w:pPr>
      <w:r w:rsidRPr="00510AD0">
        <w:t>Standards of Care</w:t>
      </w:r>
      <w:bookmarkEnd w:id="168"/>
      <w:bookmarkEnd w:id="169"/>
      <w:bookmarkEnd w:id="170"/>
      <w:bookmarkEnd w:id="171"/>
      <w:bookmarkEnd w:id="172"/>
    </w:p>
    <w:p w14:paraId="7F25FFA8" w14:textId="3AD8D8BF" w:rsidR="0055205C" w:rsidRPr="00510AD0" w:rsidRDefault="0055205C" w:rsidP="00727F6E">
      <w:pPr>
        <w:pStyle w:val="Heading2Continued"/>
      </w:pPr>
      <w:r w:rsidRPr="00510AD0">
        <w:t>.  Seller shall comply, and shall cause the Project Company to comply,</w:t>
      </w:r>
      <w:r w:rsidR="00982404" w:rsidRPr="00510AD0">
        <w:t xml:space="preserve"> </w:t>
      </w:r>
      <w:r w:rsidRPr="00510AD0">
        <w:t xml:space="preserve">with all applicable requirements of Law, the </w:t>
      </w:r>
      <w:r w:rsidR="007227A0" w:rsidRPr="00510AD0">
        <w:t>Participating TO</w:t>
      </w:r>
      <w:r w:rsidRPr="00510AD0">
        <w:t>, Utility Distribution Company, Governmental Approvals, the CAISO, CARB, FERC, NERC and WECC in its scheduling, interconnection, operation and maintenance of the Project and as contemplated by this Agreement.  Seller shall, and shall cause the Project Company to,</w:t>
      </w:r>
      <w:r w:rsidR="00982404" w:rsidRPr="00510AD0">
        <w:t xml:space="preserve"> </w:t>
      </w:r>
      <w:bookmarkStart w:id="173" w:name="DocXTextRef44"/>
      <w:r w:rsidRPr="00510AD0">
        <w:t>(a)</w:t>
      </w:r>
      <w:bookmarkEnd w:id="173"/>
      <w:r w:rsidRPr="00510AD0">
        <w:t xml:space="preserve">  acquire and maintain all Governmental Approvals necessary for the construction, operation, and maintenance of the Project consistent with Safety Requirements; </w:t>
      </w:r>
      <w:bookmarkStart w:id="174" w:name="DocXTextRef45"/>
      <w:r w:rsidRPr="00510AD0">
        <w:t>(b)</w:t>
      </w:r>
      <w:bookmarkEnd w:id="174"/>
      <w:r w:rsidRPr="00510AD0">
        <w:t xml:space="preserve"> Notify Buyer of any material modifications or lapse in renewal of such Governmental Approvals; and </w:t>
      </w:r>
      <w:bookmarkStart w:id="175" w:name="DocXTextRef46"/>
      <w:r w:rsidRPr="00510AD0">
        <w:t>(c)</w:t>
      </w:r>
      <w:bookmarkEnd w:id="175"/>
      <w:r w:rsidRPr="00510AD0">
        <w:t xml:space="preserve"> at Buyer’s request, provide to Buyer digital copies of any such Governmental Approvals.  For the avoidance of doubt, Seller shall be responsible for procuring and maintaining, at its expense, or causing the Project Company to procure and maintain at its expens</w:t>
      </w:r>
      <w:r w:rsidR="00C41ABB" w:rsidRPr="00510AD0">
        <w:t>e</w:t>
      </w:r>
      <w:r w:rsidRPr="00510AD0">
        <w:t xml:space="preserv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or cause Project Company to execute and provide, any documents, information, or instruments with respect to Product reasonably necessary to enable Buyer to comply with the requirements of any Governmental Authority.  Nothing hereunder shall cause Buyer to assume any liability or obligation with </w:t>
      </w:r>
      <w:r w:rsidRPr="00510AD0">
        <w:lastRenderedPageBreak/>
        <w:t>respect to Seller’s</w:t>
      </w:r>
      <w:r w:rsidR="00982404" w:rsidRPr="00510AD0">
        <w:t xml:space="preserve"> </w:t>
      </w:r>
      <w:r w:rsidRPr="00510AD0">
        <w:t>or Project Company’s compliance obligations with respect to the Project under any new or existing Laws, rules, or regulations.</w:t>
      </w:r>
    </w:p>
    <w:p w14:paraId="6FCDBEC6" w14:textId="77777777" w:rsidR="0055205C" w:rsidRPr="00510AD0" w:rsidRDefault="0055205C" w:rsidP="00E50639">
      <w:pPr>
        <w:pStyle w:val="Heading1"/>
      </w:pPr>
      <w:bookmarkStart w:id="176" w:name="_Toc70208379"/>
      <w:bookmarkStart w:id="177" w:name="_Toc81215029"/>
      <w:bookmarkStart w:id="178" w:name="_Toc78477802"/>
      <w:bookmarkStart w:id="179" w:name="_Toc99035840"/>
      <w:r w:rsidRPr="00510AD0">
        <w:br/>
      </w:r>
      <w:bookmarkStart w:id="180" w:name="_Ref69141600"/>
      <w:r w:rsidRPr="00510AD0">
        <w:t>SELLER’S  DELIVERY</w:t>
      </w:r>
      <w:bookmarkEnd w:id="176"/>
      <w:bookmarkEnd w:id="177"/>
      <w:bookmarkEnd w:id="178"/>
      <w:bookmarkEnd w:id="179"/>
      <w:bookmarkEnd w:id="180"/>
    </w:p>
    <w:p w14:paraId="431C9DC0" w14:textId="77777777" w:rsidR="0055205C" w:rsidRPr="00510AD0" w:rsidRDefault="0055205C" w:rsidP="0017021E">
      <w:pPr>
        <w:pStyle w:val="Heading2"/>
        <w:rPr>
          <w:vanish/>
          <w:specVanish/>
        </w:rPr>
      </w:pPr>
      <w:bookmarkStart w:id="181" w:name="_Ref69141601"/>
      <w:bookmarkStart w:id="182" w:name="_Toc70208380"/>
      <w:bookmarkStart w:id="183" w:name="_Toc81215030"/>
      <w:bookmarkStart w:id="184" w:name="_Toc78477803"/>
      <w:bookmarkStart w:id="185" w:name="_Toc99035841"/>
      <w:r w:rsidRPr="00510AD0">
        <w:t>Confirmed Quantity</w:t>
      </w:r>
      <w:bookmarkEnd w:id="181"/>
      <w:bookmarkEnd w:id="182"/>
      <w:bookmarkEnd w:id="183"/>
      <w:bookmarkEnd w:id="184"/>
      <w:bookmarkEnd w:id="185"/>
    </w:p>
    <w:p w14:paraId="3BDCB747" w14:textId="51D7AE79" w:rsidR="0055205C" w:rsidRPr="00510AD0" w:rsidRDefault="0055205C" w:rsidP="00727F6E">
      <w:pPr>
        <w:pStyle w:val="Heading2Continued"/>
      </w:pPr>
      <w:r w:rsidRPr="00510AD0">
        <w:t xml:space="preserve">.  For all Capacity Attributes of the Product that Seller delivers, Buyer shall pay Seller for the ratio of </w:t>
      </w:r>
      <w:bookmarkStart w:id="186" w:name="DocXTextRef47"/>
      <w:r w:rsidRPr="00510AD0">
        <w:t>(a)</w:t>
      </w:r>
      <w:bookmarkEnd w:id="186"/>
      <w:r w:rsidRPr="00510AD0">
        <w:t xml:space="preserve"> the sum of all Capacity Attributes of the Delivered Quantities to </w:t>
      </w:r>
      <w:bookmarkStart w:id="187" w:name="DocXTextRef48"/>
      <w:r w:rsidRPr="00510AD0">
        <w:t>(b)</w:t>
      </w:r>
      <w:bookmarkEnd w:id="187"/>
      <w:r w:rsidRPr="00510AD0">
        <w:t xml:space="preserve"> the sum of all Capacity Attributes of the Product, all as multiplied by </w:t>
      </w:r>
      <w:bookmarkStart w:id="188" w:name="DocXTextRef49"/>
      <w:r w:rsidRPr="00510AD0">
        <w:t>(c)</w:t>
      </w:r>
      <w:bookmarkEnd w:id="188"/>
      <w:r w:rsidRPr="00510AD0">
        <w:t xml:space="preserve"> the Payment Quantity</w:t>
      </w:r>
      <w:r w:rsidR="00B53C53" w:rsidRPr="00510AD0">
        <w:t xml:space="preserve"> listed in Appendix II</w:t>
      </w:r>
      <w:r w:rsidRPr="00510AD0">
        <w:t xml:space="preserve"> (“Confirmed Quantity”), as shown in the equation below. </w:t>
      </w:r>
    </w:p>
    <w:p w14:paraId="1D6FE12F" w14:textId="77777777" w:rsidR="0055205C" w:rsidRPr="00510AD0" w:rsidRDefault="0055205C" w:rsidP="000F02DE">
      <w:pPr>
        <w:pStyle w:val="BodyTextLeft"/>
        <w:jc w:val="center"/>
        <w:rPr>
          <w:i/>
          <w:iCs/>
          <w:sz w:val="18"/>
          <w:szCs w:val="18"/>
        </w:rPr>
      </w:pPr>
      <w:r w:rsidRPr="00510AD0">
        <w:rPr>
          <w:i/>
          <w:iCs/>
          <w:sz w:val="18"/>
          <w:szCs w:val="18"/>
        </w:rPr>
        <w:t>Confirmed Quantity = (sum of Capacity Attributes of Delivered Quantities/sum of all Capacity Attributes of Product) × Payment Quantity</w:t>
      </w:r>
    </w:p>
    <w:p w14:paraId="681E7900" w14:textId="77777777" w:rsidR="0055205C" w:rsidRPr="00510AD0" w:rsidRDefault="0055205C" w:rsidP="0017021E">
      <w:pPr>
        <w:pStyle w:val="Heading2"/>
        <w:rPr>
          <w:vanish/>
          <w:specVanish/>
        </w:rPr>
      </w:pPr>
      <w:bookmarkStart w:id="189" w:name="_Ref69141602"/>
      <w:bookmarkStart w:id="190" w:name="_Toc70208381"/>
      <w:bookmarkStart w:id="191" w:name="_Toc81215031"/>
      <w:bookmarkStart w:id="192" w:name="_Toc78477804"/>
      <w:bookmarkStart w:id="193" w:name="_Toc99035842"/>
      <w:r w:rsidRPr="00510AD0">
        <w:t>Post-Showing Shortfall Prior to Showing Month</w:t>
      </w:r>
      <w:bookmarkEnd w:id="189"/>
      <w:bookmarkEnd w:id="190"/>
      <w:bookmarkEnd w:id="191"/>
      <w:bookmarkEnd w:id="192"/>
      <w:bookmarkEnd w:id="193"/>
    </w:p>
    <w:p w14:paraId="7414E64A" w14:textId="235BFD6C" w:rsidR="0055205C" w:rsidRPr="00510AD0" w:rsidRDefault="0055205C" w:rsidP="00727F6E">
      <w:pPr>
        <w:pStyle w:val="Heading2Continued"/>
      </w:pPr>
      <w:r w:rsidRPr="00510AD0">
        <w:t xml:space="preserve">.  In the event that CAISO, CPUC, or other Governmental Authority determines in accordance with the CAISO Tariff that Buyer is required to provide outage replacement for any portion of the Delivered Quantity for any portion of a Showing Month which was shown by Buyer in its Compliance Showing (“Shortfall”), then Seller shall pay to Buyer liquidated damages in the amount of $6.31/kw-month (this number shall rise at the rate of inflation determined by the Consumer Price Index  published by the U.S. Bureau of Labor Statistics beginning at the Execution Date) multiplied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w:t>
      </w:r>
      <w:bookmarkStart w:id="194" w:name="DocXTextRef50"/>
      <w:r w:rsidRPr="00510AD0">
        <w:t>(a)</w:t>
      </w:r>
      <w:bookmarkEnd w:id="194"/>
      <w:r w:rsidRPr="00510AD0">
        <w:t xml:space="preserve"> the damages that Buyer would incur due to a Shortfall would be difficult or impossible to predict with certainty and </w:t>
      </w:r>
      <w:bookmarkStart w:id="195" w:name="DocXTextRef51"/>
      <w:r w:rsidRPr="00510AD0">
        <w:t>(b)</w:t>
      </w:r>
      <w:bookmarkEnd w:id="195"/>
      <w:r w:rsidRPr="00510AD0">
        <w:t xml:space="preserve"> the Replacement Damages are an appropriate approximation of such damages</w:t>
      </w:r>
      <w:r w:rsidR="00C54285" w:rsidRPr="00510AD0">
        <w:t xml:space="preserve"> and are Buyer’s sole and exclusive remedy for a Shortfall</w:t>
      </w:r>
      <w:r w:rsidRPr="00510AD0">
        <w:t>.</w:t>
      </w:r>
    </w:p>
    <w:p w14:paraId="60D3974C" w14:textId="77777777" w:rsidR="0055205C" w:rsidRPr="00510AD0" w:rsidRDefault="0055205C" w:rsidP="00E50639">
      <w:pPr>
        <w:pStyle w:val="Heading1"/>
      </w:pPr>
      <w:bookmarkStart w:id="196" w:name="_Toc70208382"/>
      <w:bookmarkStart w:id="197" w:name="_Toc81215032"/>
      <w:bookmarkStart w:id="198" w:name="_Toc78477805"/>
      <w:bookmarkStart w:id="199" w:name="_Toc99035843"/>
      <w:r w:rsidRPr="00510AD0">
        <w:br/>
      </w:r>
      <w:bookmarkStart w:id="200" w:name="_Ref69141603"/>
      <w:r w:rsidRPr="00510AD0">
        <w:t>COMPENSATION</w:t>
      </w:r>
      <w:bookmarkEnd w:id="196"/>
      <w:bookmarkEnd w:id="197"/>
      <w:bookmarkEnd w:id="198"/>
      <w:bookmarkEnd w:id="199"/>
      <w:bookmarkEnd w:id="200"/>
    </w:p>
    <w:p w14:paraId="30602689" w14:textId="77777777" w:rsidR="0055205C" w:rsidRPr="00510AD0" w:rsidRDefault="0055205C" w:rsidP="0017021E">
      <w:pPr>
        <w:pStyle w:val="Heading2"/>
        <w:rPr>
          <w:vanish/>
          <w:specVanish/>
        </w:rPr>
      </w:pPr>
      <w:bookmarkStart w:id="201" w:name="_Ref69141604"/>
      <w:bookmarkStart w:id="202" w:name="_Toc70208383"/>
      <w:bookmarkStart w:id="203" w:name="_Toc81215033"/>
      <w:bookmarkStart w:id="204" w:name="_Toc78477806"/>
      <w:bookmarkStart w:id="205" w:name="_Toc99035844"/>
      <w:r w:rsidRPr="00510AD0">
        <w:t>Monthly Payment</w:t>
      </w:r>
      <w:bookmarkEnd w:id="201"/>
      <w:bookmarkEnd w:id="202"/>
      <w:bookmarkEnd w:id="203"/>
      <w:bookmarkEnd w:id="204"/>
      <w:bookmarkEnd w:id="205"/>
    </w:p>
    <w:p w14:paraId="73B32D22" w14:textId="77777777" w:rsidR="0055205C" w:rsidRPr="00510AD0" w:rsidRDefault="0055205C" w:rsidP="00727F6E">
      <w:pPr>
        <w:pStyle w:val="Heading2Continued"/>
      </w:pPr>
      <w:r w:rsidRPr="00510AD0">
        <w:t>.  After the applicable Showing Month and in accordance with Article Nine, Buyer shall calculate the Monthly Payment (or “MP”), and shall provide notice of such calculation to Seller, as follows:</w:t>
      </w:r>
    </w:p>
    <w:p w14:paraId="3BD7699D" w14:textId="05359C48" w:rsidR="0055205C" w:rsidRPr="00510AD0" w:rsidRDefault="0055205C" w:rsidP="000F02DE">
      <w:pPr>
        <w:pStyle w:val="BodyText"/>
      </w:pPr>
      <w:r w:rsidRPr="00510AD0">
        <w:t>MP</w:t>
      </w:r>
      <w:r w:rsidRPr="00510AD0">
        <w:rPr>
          <w:vertAlign w:val="subscript"/>
        </w:rPr>
        <w:t>m</w:t>
      </w:r>
      <w:r w:rsidRPr="00510AD0">
        <w:t xml:space="preserve"> = (CP</w:t>
      </w:r>
      <w:r w:rsidRPr="00510AD0">
        <w:rPr>
          <w:vertAlign w:val="subscript"/>
        </w:rPr>
        <w:t>m</w:t>
      </w:r>
      <w:r w:rsidRPr="00510AD0">
        <w:t xml:space="preserve"> × FQ</w:t>
      </w:r>
      <w:r w:rsidRPr="00510AD0">
        <w:rPr>
          <w:vertAlign w:val="subscript"/>
        </w:rPr>
        <w:t>m</w:t>
      </w:r>
      <w:r w:rsidRPr="00510AD0">
        <w:t>) [– ES</w:t>
      </w:r>
      <w:r w:rsidRPr="00510AD0">
        <w:rPr>
          <w:vertAlign w:val="subscript"/>
        </w:rPr>
        <w:t xml:space="preserve">m </w:t>
      </w:r>
      <w:r w:rsidRPr="00510AD0">
        <w:t>]</w:t>
      </w:r>
      <w:r w:rsidR="00790E05" w:rsidRPr="00510AD0">
        <w:rPr>
          <w:rStyle w:val="FootnoteReference"/>
        </w:rPr>
        <w:footnoteReference w:id="18"/>
      </w:r>
    </w:p>
    <w:p w14:paraId="51FB740A" w14:textId="77777777" w:rsidR="0055205C" w:rsidRPr="00510AD0" w:rsidRDefault="0055205C" w:rsidP="000F02DE">
      <w:pPr>
        <w:pStyle w:val="BodyText"/>
        <w:ind w:left="720"/>
      </w:pPr>
      <w:r w:rsidRPr="00510AD0">
        <w:t>where,</w:t>
      </w:r>
    </w:p>
    <w:p w14:paraId="369F92D4" w14:textId="77777777" w:rsidR="0055205C" w:rsidRPr="00510AD0" w:rsidRDefault="0055205C" w:rsidP="000F02DE">
      <w:pPr>
        <w:pStyle w:val="BodyText"/>
      </w:pPr>
      <w:r w:rsidRPr="00510AD0">
        <w:t>CP</w:t>
      </w:r>
      <w:r w:rsidRPr="00510AD0">
        <w:rPr>
          <w:vertAlign w:val="subscript"/>
        </w:rPr>
        <w:t>m</w:t>
      </w:r>
      <w:r w:rsidRPr="00510AD0">
        <w:t xml:space="preserve"> = Contract Price for month m </w:t>
      </w:r>
    </w:p>
    <w:p w14:paraId="22D097C6" w14:textId="77777777" w:rsidR="0055205C" w:rsidRPr="00510AD0" w:rsidRDefault="0055205C" w:rsidP="000F02DE">
      <w:pPr>
        <w:pStyle w:val="BodyText"/>
      </w:pPr>
      <w:r w:rsidRPr="00510AD0">
        <w:lastRenderedPageBreak/>
        <w:t>FQ</w:t>
      </w:r>
      <w:r w:rsidRPr="00510AD0">
        <w:rPr>
          <w:vertAlign w:val="subscript"/>
        </w:rPr>
        <w:t>m</w:t>
      </w:r>
      <w:r w:rsidRPr="00510AD0">
        <w:t xml:space="preserve"> = Confirmed Quantity for month m</w:t>
      </w:r>
    </w:p>
    <w:p w14:paraId="375B48B8" w14:textId="4F7B3A5A" w:rsidR="0055205C" w:rsidRPr="00510AD0" w:rsidRDefault="0055205C" w:rsidP="000F02DE">
      <w:pPr>
        <w:pStyle w:val="BodyText"/>
      </w:pPr>
      <w:r w:rsidRPr="00510AD0">
        <w:t>[ES</w:t>
      </w:r>
      <w:r w:rsidRPr="00510AD0">
        <w:rPr>
          <w:vertAlign w:val="subscript"/>
        </w:rPr>
        <w:t xml:space="preserve">m    </w:t>
      </w:r>
      <w:r w:rsidRPr="00510AD0">
        <w:t>= Energy Settlement for month m]</w:t>
      </w:r>
      <w:r w:rsidR="008874B9" w:rsidRPr="00510AD0">
        <w:rPr>
          <w:rStyle w:val="FootnoteReference"/>
        </w:rPr>
        <w:footnoteReference w:id="19"/>
      </w:r>
    </w:p>
    <w:p w14:paraId="440180C0" w14:textId="77777777" w:rsidR="0055205C" w:rsidRPr="00510AD0" w:rsidRDefault="0055205C" w:rsidP="000F02DE">
      <w:pPr>
        <w:pStyle w:val="BodyText"/>
      </w:pPr>
      <w:r w:rsidRPr="00510AD0">
        <w:t>The Monthly Payment calculation shall be rounded to two decimal places.</w:t>
      </w:r>
    </w:p>
    <w:p w14:paraId="08B531A7" w14:textId="411B6C99" w:rsidR="0055205C" w:rsidRPr="00510AD0" w:rsidRDefault="0055205C" w:rsidP="000F02DE">
      <w:pPr>
        <w:pStyle w:val="BodyTextLeft"/>
      </w:pPr>
      <w:r w:rsidRPr="00510AD0">
        <w:t xml:space="preserve">[If MP is </w:t>
      </w:r>
      <w:bookmarkStart w:id="206" w:name="DocXTextRef53"/>
      <w:r w:rsidRPr="00510AD0">
        <w:t>(i)</w:t>
      </w:r>
      <w:bookmarkEnd w:id="206"/>
      <w:r w:rsidRPr="00510AD0">
        <w:t xml:space="preserve"> a positive number, then Buyer shall pay such amount to Seller and (ii) a negative number, then Seller shall pay the absolute value of such amount to Buyer, in each case in accordance with Section </w:t>
      </w:r>
      <w:r w:rsidR="00286173" w:rsidRPr="00510AD0">
        <w:fldChar w:fldCharType="begin"/>
      </w:r>
      <w:r w:rsidR="00286173" w:rsidRPr="00510AD0">
        <w:instrText xml:space="preserve">  REF _Ref69141650 \w \h \* MERGEFORMAT </w:instrText>
      </w:r>
      <w:r w:rsidR="00286173" w:rsidRPr="00510AD0">
        <w:fldChar w:fldCharType="separate"/>
      </w:r>
      <w:r w:rsidR="007751F5" w:rsidRPr="00510AD0">
        <w:rPr>
          <w:color w:val="000000"/>
        </w:rPr>
        <w:t>9.1</w:t>
      </w:r>
      <w:r w:rsidR="00286173" w:rsidRPr="00510AD0">
        <w:fldChar w:fldCharType="end"/>
      </w:r>
      <w:r w:rsidRPr="00510AD0">
        <w:t>.]</w:t>
      </w:r>
      <w:r w:rsidR="00982404" w:rsidRPr="00510AD0">
        <w:rPr>
          <w:rStyle w:val="FootnoteReference"/>
        </w:rPr>
        <w:footnoteReference w:id="20"/>
      </w:r>
      <w:r w:rsidRPr="00510AD0">
        <w:rPr>
          <w:rStyle w:val="FootnoteReference"/>
        </w:rPr>
        <w:t xml:space="preserve"> </w:t>
      </w:r>
    </w:p>
    <w:p w14:paraId="2A3E765D" w14:textId="724C7A26" w:rsidR="0055205C" w:rsidRPr="00510AD0" w:rsidRDefault="0055205C" w:rsidP="0017021E">
      <w:pPr>
        <w:pStyle w:val="Heading2"/>
        <w:rPr>
          <w:vanish/>
          <w:specVanish/>
        </w:rPr>
      </w:pPr>
      <w:bookmarkStart w:id="207" w:name="_Ref69141605"/>
      <w:bookmarkStart w:id="208" w:name="_Toc70208384"/>
      <w:bookmarkStart w:id="209" w:name="_Toc81215034"/>
      <w:bookmarkStart w:id="210" w:name="_Toc78477807"/>
      <w:bookmarkStart w:id="211" w:name="_Toc99035845"/>
      <w:r w:rsidRPr="00510AD0">
        <w:t>Energy Settlement</w:t>
      </w:r>
      <w:bookmarkEnd w:id="207"/>
      <w:bookmarkEnd w:id="208"/>
      <w:bookmarkEnd w:id="209"/>
      <w:bookmarkEnd w:id="210"/>
      <w:bookmarkEnd w:id="211"/>
    </w:p>
    <w:p w14:paraId="394F8515" w14:textId="44BA6292" w:rsidR="0055205C" w:rsidRPr="00510AD0" w:rsidRDefault="0055205C" w:rsidP="00727F6E">
      <w:pPr>
        <w:pStyle w:val="Heading2Continued"/>
      </w:pPr>
      <w:r w:rsidRPr="00510AD0">
        <w:t xml:space="preserve">.  As indicated in </w:t>
      </w:r>
      <w:r w:rsidRPr="00510AD0">
        <w:rPr>
          <w:u w:val="single"/>
        </w:rPr>
        <w:t>Appendix II</w:t>
      </w:r>
      <w:r w:rsidRPr="00510AD0">
        <w:t xml:space="preserve"> Part </w:t>
      </w:r>
      <w:bookmarkStart w:id="212" w:name="DocXTextRef54"/>
      <w:r w:rsidRPr="00510AD0">
        <w:t>C</w:t>
      </w:r>
      <w:bookmarkEnd w:id="212"/>
      <w:r w:rsidRPr="00510AD0">
        <w:t xml:space="preserve">, this Agreement [does include the Energy Settlement (“ES”) which shall be calculated as set forth in </w:t>
      </w:r>
      <w:r w:rsidRPr="00510AD0">
        <w:rPr>
          <w:u w:val="single"/>
        </w:rPr>
        <w:t>Appendix XV</w:t>
      </w:r>
      <w:r w:rsidRPr="00510AD0">
        <w:t>] OR [does not include the Energy Settlement (“ES”)</w:t>
      </w:r>
      <w:r w:rsidR="004B738A" w:rsidRPr="00510AD0">
        <w:t>]</w:t>
      </w:r>
      <w:r w:rsidRPr="00510AD0">
        <w:t>.</w:t>
      </w:r>
    </w:p>
    <w:p w14:paraId="3AB1526B" w14:textId="77777777" w:rsidR="0055205C" w:rsidRPr="00510AD0" w:rsidRDefault="0055205C" w:rsidP="0017021E">
      <w:pPr>
        <w:pStyle w:val="Heading2"/>
      </w:pPr>
      <w:bookmarkStart w:id="213" w:name="_Ref69141606"/>
      <w:bookmarkStart w:id="214" w:name="_Toc70208385"/>
      <w:bookmarkStart w:id="215" w:name="_Toc81215035"/>
      <w:bookmarkStart w:id="216" w:name="_Toc78477808"/>
      <w:bookmarkStart w:id="217" w:name="_Toc99035846"/>
      <w:r w:rsidRPr="00510AD0">
        <w:t>Allocation of CAISO Payments and Costs</w:t>
      </w:r>
      <w:bookmarkEnd w:id="213"/>
      <w:bookmarkEnd w:id="214"/>
      <w:bookmarkEnd w:id="215"/>
      <w:bookmarkEnd w:id="216"/>
      <w:bookmarkEnd w:id="217"/>
    </w:p>
    <w:p w14:paraId="3FB399E7" w14:textId="77777777" w:rsidR="0055205C" w:rsidRPr="00510AD0" w:rsidRDefault="0055205C" w:rsidP="00D74823">
      <w:pPr>
        <w:pStyle w:val="Heading3"/>
      </w:pPr>
      <w:bookmarkStart w:id="218" w:name="_Ref69141607"/>
      <w:r w:rsidRPr="00510AD0">
        <w:t>Except as provided in this Article Six, Seller shall retain any revenues it may receive from, and pay all costs charged by, the CAISO or any other third party with respect to the Product or Project.</w:t>
      </w:r>
      <w:bookmarkEnd w:id="218"/>
      <w:r w:rsidRPr="00510AD0">
        <w:t xml:space="preserve">  </w:t>
      </w:r>
    </w:p>
    <w:p w14:paraId="6824143F" w14:textId="5FF9EFA8" w:rsidR="0055205C" w:rsidRPr="00510AD0" w:rsidRDefault="0055205C" w:rsidP="00D74823">
      <w:pPr>
        <w:pStyle w:val="Heading3"/>
      </w:pPr>
      <w:bookmarkStart w:id="219" w:name="_Ref69141608"/>
      <w:r w:rsidRPr="00510AD0">
        <w:t xml:space="preserve">Buyer shall be entitled to receive and retain all revenues associated with the Product during the Delivery Term (“Buyer Revenues”), including any capacity or availability revenues from CPM, including through a competitive solicitation process, and Residual Unit Commitment (RUC) Availability Payments.  Seller shall be entitled to receive and retain all revenues for CPM </w:t>
      </w:r>
      <w:r w:rsidR="00B53C53" w:rsidRPr="00510AD0">
        <w:t xml:space="preserve">that do not constitute </w:t>
      </w:r>
      <w:r w:rsidRPr="00510AD0">
        <w:t>Buyer Revenues.</w:t>
      </w:r>
      <w:bookmarkEnd w:id="219"/>
    </w:p>
    <w:p w14:paraId="4B29B337" w14:textId="48F0A97E" w:rsidR="0055205C" w:rsidRPr="00510AD0" w:rsidRDefault="0055205C" w:rsidP="00B53C53">
      <w:pPr>
        <w:pStyle w:val="Heading3"/>
      </w:pPr>
      <w:bookmarkStart w:id="220" w:name="_Ref69141609"/>
      <w:r w:rsidRPr="00510AD0">
        <w:t xml:space="preserve">All such Buyer Revenues received by Seller, Project Company or the Project’s SC (and if Behind the Meter Project, any Customer, Unit owner or operator) shall be remitted to Buyer, and Seller shall be responsible for paying for such revenues to Buyer if Project Company or the Project’s SC (and if Behind the Meter Project, any Customer, Unit owner or operator) fails to remit those revenues to Buyer.  In order to verify the accuracy of Buyer Revenues submitted by Seller or </w:t>
      </w:r>
      <w:r w:rsidR="00B53C53" w:rsidRPr="00510AD0">
        <w:t>the Project’s</w:t>
      </w:r>
      <w:r w:rsidRPr="00510AD0">
        <w:t xml:space="preserve"> SC, Buyer shall have the right, at its sole expense and during normal working hours after reasonable prior Notice, to hire an independent third party reasonably acceptable to Seller to audit any documents, records or data of Seller, or if required</w:t>
      </w:r>
      <w:r w:rsidR="00B51AF8" w:rsidRPr="00510AD0">
        <w:t>,</w:t>
      </w:r>
      <w:r w:rsidR="004C396C" w:rsidRPr="00510AD0">
        <w:t xml:space="preserve"> subject to </w:t>
      </w:r>
      <w:r w:rsidR="004C0E7E" w:rsidRPr="00510AD0">
        <w:rPr>
          <w:u w:val="single"/>
        </w:rPr>
        <w:t xml:space="preserve">Section </w:t>
      </w:r>
      <w:r w:rsidR="004C0E7E" w:rsidRPr="00510AD0">
        <w:rPr>
          <w:u w:val="single"/>
        </w:rPr>
        <w:fldChar w:fldCharType="begin"/>
      </w:r>
      <w:r w:rsidR="004C0E7E" w:rsidRPr="00510AD0">
        <w:rPr>
          <w:u w:val="single"/>
        </w:rPr>
        <w:instrText xml:space="preserve"> REF _Ref77805587 \w \h  \* MERGEFORMAT </w:instrText>
      </w:r>
      <w:r w:rsidR="004C0E7E" w:rsidRPr="00510AD0">
        <w:rPr>
          <w:u w:val="single"/>
        </w:rPr>
      </w:r>
      <w:r w:rsidR="004C0E7E" w:rsidRPr="00510AD0">
        <w:rPr>
          <w:u w:val="single"/>
        </w:rPr>
        <w:fldChar w:fldCharType="separate"/>
      </w:r>
      <w:r w:rsidR="004C0E7E" w:rsidRPr="00510AD0">
        <w:rPr>
          <w:u w:val="single"/>
        </w:rPr>
        <w:t>14.4</w:t>
      </w:r>
      <w:r w:rsidR="004C0E7E" w:rsidRPr="00510AD0">
        <w:rPr>
          <w:u w:val="single"/>
        </w:rPr>
        <w:fldChar w:fldCharType="end"/>
      </w:r>
      <w:r w:rsidRPr="00510AD0">
        <w:t xml:space="preserve">, of Project Company (and </w:t>
      </w:r>
      <w:r w:rsidR="00B51AF8" w:rsidRPr="00510AD0">
        <w:t xml:space="preserve">subject to </w:t>
      </w:r>
      <w:r w:rsidR="004C0E7E" w:rsidRPr="00510AD0">
        <w:rPr>
          <w:u w:val="single"/>
        </w:rPr>
        <w:t xml:space="preserve">Section </w:t>
      </w:r>
      <w:r w:rsidR="004C0E7E" w:rsidRPr="00510AD0">
        <w:rPr>
          <w:u w:val="single"/>
        </w:rPr>
        <w:fldChar w:fldCharType="begin"/>
      </w:r>
      <w:r w:rsidR="004C0E7E" w:rsidRPr="00510AD0">
        <w:rPr>
          <w:u w:val="single"/>
        </w:rPr>
        <w:instrText xml:space="preserve"> REF _Ref77805587 \w \h  \* MERGEFORMAT </w:instrText>
      </w:r>
      <w:r w:rsidR="004C0E7E" w:rsidRPr="00510AD0">
        <w:rPr>
          <w:u w:val="single"/>
        </w:rPr>
      </w:r>
      <w:r w:rsidR="004C0E7E" w:rsidRPr="00510AD0">
        <w:rPr>
          <w:u w:val="single"/>
        </w:rPr>
        <w:fldChar w:fldCharType="separate"/>
      </w:r>
      <w:r w:rsidR="004C0E7E" w:rsidRPr="00510AD0">
        <w:rPr>
          <w:u w:val="single"/>
        </w:rPr>
        <w:t>14.4</w:t>
      </w:r>
      <w:r w:rsidR="004C0E7E" w:rsidRPr="00510AD0">
        <w:rPr>
          <w:u w:val="single"/>
        </w:rPr>
        <w:fldChar w:fldCharType="end"/>
      </w:r>
      <w:r w:rsidR="00B51AF8" w:rsidRPr="00510AD0">
        <w:t xml:space="preserve"> </w:t>
      </w:r>
      <w:r w:rsidRPr="00510AD0">
        <w:t>Seller shall cause Project Company to reasonably cooperate with Buyer and its independent auditor</w:t>
      </w:r>
      <w:r w:rsidR="004C396C" w:rsidRPr="00510AD0">
        <w:t>)</w:t>
      </w:r>
      <w:r w:rsidRPr="00510AD0">
        <w:t>, associated with the Product.</w:t>
      </w:r>
      <w:bookmarkEnd w:id="220"/>
    </w:p>
    <w:p w14:paraId="19CD2843" w14:textId="144DCD2C" w:rsidR="0055205C" w:rsidRPr="00510AD0" w:rsidRDefault="0055205C" w:rsidP="00D74823">
      <w:pPr>
        <w:pStyle w:val="Heading3"/>
      </w:pPr>
      <w:bookmarkStart w:id="221" w:name="_Ref69141610"/>
      <w:r w:rsidRPr="00510AD0">
        <w:t>To the extent that the Project is subject to the terms of the Availability Standards, Non-Availability Charges, and Availability Incentive Payments of the CAISO Tariff, the Parties agree that</w:t>
      </w:r>
      <w:r w:rsidR="006E66CD" w:rsidRPr="00510AD0">
        <w:t xml:space="preserve"> Buyer is</w:t>
      </w:r>
      <w:r w:rsidR="00C077ED" w:rsidRPr="00510AD0">
        <w:t xml:space="preserve"> not</w:t>
      </w:r>
      <w:r w:rsidR="006E66CD" w:rsidRPr="00510AD0">
        <w:t xml:space="preserve"> entitled to</w:t>
      </w:r>
      <w:r w:rsidRPr="00510AD0">
        <w:t xml:space="preserve"> any Availability Incentive Payments and that</w:t>
      </w:r>
      <w:r w:rsidR="00C46649" w:rsidRPr="00510AD0">
        <w:t xml:space="preserve"> Buyer shall bear no responsibility for</w:t>
      </w:r>
      <w:r w:rsidRPr="00510AD0">
        <w:t xml:space="preserve"> any Non-Availability Charges</w:t>
      </w:r>
      <w:bookmarkStart w:id="222" w:name="_Hlk37690064"/>
      <w:r w:rsidRPr="00510AD0">
        <w:t>, including, without limitation, any charges resulting from Seller’s failure to deliver any Capacity Attributes</w:t>
      </w:r>
      <w:bookmarkEnd w:id="222"/>
      <w:r w:rsidRPr="00510AD0">
        <w:t>.</w:t>
      </w:r>
      <w:bookmarkEnd w:id="221"/>
    </w:p>
    <w:p w14:paraId="6E8E5FAA" w14:textId="77777777" w:rsidR="0055205C" w:rsidRPr="00510AD0" w:rsidRDefault="0055205C" w:rsidP="00E50639">
      <w:pPr>
        <w:pStyle w:val="Heading1"/>
      </w:pPr>
      <w:bookmarkStart w:id="223" w:name="_Toc70208386"/>
      <w:bookmarkStart w:id="224" w:name="_Toc81215036"/>
      <w:bookmarkStart w:id="225" w:name="_Toc78477809"/>
      <w:bookmarkStart w:id="226" w:name="_Toc99035847"/>
      <w:r w:rsidRPr="00510AD0">
        <w:lastRenderedPageBreak/>
        <w:br/>
      </w:r>
      <w:bookmarkStart w:id="227" w:name="_Ref69141611"/>
      <w:r w:rsidRPr="00510AD0">
        <w:t>EVENTS OF DEFAULT; REMEDIES</w:t>
      </w:r>
      <w:bookmarkEnd w:id="223"/>
      <w:bookmarkEnd w:id="224"/>
      <w:bookmarkEnd w:id="225"/>
      <w:bookmarkEnd w:id="226"/>
      <w:bookmarkEnd w:id="227"/>
    </w:p>
    <w:p w14:paraId="66F8E7FA" w14:textId="77777777" w:rsidR="0055205C" w:rsidRPr="00510AD0" w:rsidRDefault="0055205C" w:rsidP="0017021E">
      <w:pPr>
        <w:pStyle w:val="Heading2"/>
      </w:pPr>
      <w:bookmarkStart w:id="228" w:name="_Ref69141612"/>
      <w:bookmarkStart w:id="229" w:name="_Toc70208387"/>
      <w:bookmarkStart w:id="230" w:name="_Toc81215037"/>
      <w:bookmarkStart w:id="231" w:name="_Toc78477810"/>
      <w:bookmarkStart w:id="232" w:name="_Toc99035848"/>
      <w:r w:rsidRPr="00510AD0">
        <w:t>Events of Default.</w:t>
      </w:r>
      <w:bookmarkEnd w:id="228"/>
      <w:bookmarkEnd w:id="229"/>
      <w:bookmarkEnd w:id="230"/>
      <w:bookmarkEnd w:id="231"/>
      <w:bookmarkEnd w:id="232"/>
    </w:p>
    <w:p w14:paraId="75E85F52" w14:textId="77777777" w:rsidR="0055205C" w:rsidRPr="00510AD0" w:rsidRDefault="0055205C" w:rsidP="00D74823">
      <w:pPr>
        <w:pStyle w:val="Heading3"/>
      </w:pPr>
      <w:bookmarkStart w:id="233" w:name="_Ref69141613"/>
      <w:r w:rsidRPr="00510AD0">
        <w:t>Seller will be deemed a Defaulting Party upon the occurrence of any of the following (each a “Seller’s Event of Default”):</w:t>
      </w:r>
      <w:bookmarkEnd w:id="233"/>
    </w:p>
    <w:p w14:paraId="6E9DD681" w14:textId="49DFA601" w:rsidR="0055205C" w:rsidRPr="00510AD0" w:rsidRDefault="0055205C" w:rsidP="00D74823">
      <w:pPr>
        <w:pStyle w:val="Heading4"/>
      </w:pPr>
      <w:bookmarkStart w:id="234" w:name="_Ref69141614"/>
      <w:r w:rsidRPr="00510AD0">
        <w:t>any asset of Seller, the Project Company</w:t>
      </w:r>
      <w:r w:rsidR="00982404" w:rsidRPr="00510AD0">
        <w:t xml:space="preserve"> </w:t>
      </w:r>
      <w:r w:rsidRPr="00510AD0">
        <w:t>or the Project that is material to Seller’s performance under this Agreement is taken by or is subject to any attachment by any creditor of or claimant against Seller</w:t>
      </w:r>
      <w:r w:rsidR="00982404" w:rsidRPr="00510AD0">
        <w:t xml:space="preserve"> </w:t>
      </w:r>
      <w:r w:rsidRPr="00510AD0">
        <w:t>or the Project Company, as applicable, and the attachment is not disposed of within sixty (60) days after its levy;</w:t>
      </w:r>
      <w:bookmarkEnd w:id="234"/>
      <w:r w:rsidRPr="00510AD0">
        <w:t xml:space="preserve"> </w:t>
      </w:r>
    </w:p>
    <w:p w14:paraId="383B0DAC" w14:textId="24C65D5C" w:rsidR="0055205C" w:rsidRPr="00510AD0" w:rsidRDefault="003D5FF5" w:rsidP="00D74823">
      <w:pPr>
        <w:pStyle w:val="Heading4"/>
      </w:pPr>
      <w:bookmarkStart w:id="235" w:name="_Ref69141615"/>
      <w:r w:rsidRPr="00510AD0">
        <w:t>[</w:t>
      </w:r>
      <w:r w:rsidR="0055205C" w:rsidRPr="00510AD0">
        <w:t>Seller fails to satisfy the creditworthiness and collateral requirements and Seller fails to provide alternate collateral acceptable to Buyer within five (5) Business Days of Buyer’s written demand therefor pursuant to Sections</w:t>
      </w:r>
      <w:r w:rsidR="00C20295" w:rsidRPr="00510AD0">
        <w:t xml:space="preserve"> </w:t>
      </w:r>
      <w:r w:rsidR="00286173" w:rsidRPr="00510AD0">
        <w:fldChar w:fldCharType="begin"/>
      </w:r>
      <w:r w:rsidR="00286173" w:rsidRPr="00510AD0">
        <w:instrText xml:space="preserve">  REF _Ref69141662 \w \h \* MERGEFORMAT </w:instrText>
      </w:r>
      <w:r w:rsidR="00286173" w:rsidRPr="00510AD0">
        <w:fldChar w:fldCharType="separate"/>
      </w:r>
      <w:r w:rsidR="007751F5" w:rsidRPr="00510AD0">
        <w:t>10.4</w:t>
      </w:r>
      <w:r w:rsidR="00286173" w:rsidRPr="00510AD0">
        <w:fldChar w:fldCharType="end"/>
      </w:r>
      <w:r w:rsidR="0055205C" w:rsidRPr="00510AD0">
        <w:t xml:space="preserve">, </w:t>
      </w:r>
      <w:r w:rsidR="00286173" w:rsidRPr="00510AD0">
        <w:fldChar w:fldCharType="begin"/>
      </w:r>
      <w:r w:rsidR="00286173" w:rsidRPr="00510AD0">
        <w:instrText xml:space="preserve">  REF _Ref69141673 \w \h \* MERGEFORMAT </w:instrText>
      </w:r>
      <w:r w:rsidR="00286173" w:rsidRPr="00510AD0">
        <w:fldChar w:fldCharType="separate"/>
      </w:r>
      <w:r w:rsidR="007751F5" w:rsidRPr="00510AD0">
        <w:t>10.5</w:t>
      </w:r>
      <w:r w:rsidR="00286173" w:rsidRPr="00510AD0">
        <w:fldChar w:fldCharType="end"/>
      </w:r>
      <w:r w:rsidR="0055205C" w:rsidRPr="00510AD0">
        <w:t xml:space="preserve">, and </w:t>
      </w:r>
      <w:r w:rsidR="00286173" w:rsidRPr="00510AD0">
        <w:fldChar w:fldCharType="begin"/>
      </w:r>
      <w:r w:rsidR="00286173" w:rsidRPr="00510AD0">
        <w:instrText xml:space="preserve">  REF _Ref69141684 \w \h \* MERGEFORMAT </w:instrText>
      </w:r>
      <w:r w:rsidR="00286173" w:rsidRPr="00510AD0">
        <w:fldChar w:fldCharType="separate"/>
      </w:r>
      <w:r w:rsidR="007751F5" w:rsidRPr="00510AD0">
        <w:t>10.6</w:t>
      </w:r>
      <w:r w:rsidR="00286173" w:rsidRPr="00510AD0">
        <w:fldChar w:fldCharType="end"/>
      </w:r>
      <w:r w:rsidR="0055205C" w:rsidRPr="00510AD0">
        <w:t>;</w:t>
      </w:r>
      <w:bookmarkEnd w:id="235"/>
      <w:r w:rsidRPr="00510AD0">
        <w:t>]</w:t>
      </w:r>
      <w:r w:rsidRPr="00510AD0">
        <w:rPr>
          <w:rStyle w:val="FootnoteReference"/>
        </w:rPr>
        <w:footnoteReference w:id="21"/>
      </w:r>
      <w:r w:rsidR="0055205C" w:rsidRPr="00510AD0">
        <w:t xml:space="preserve"> </w:t>
      </w:r>
    </w:p>
    <w:p w14:paraId="4C884E3C" w14:textId="77777777" w:rsidR="0055205C" w:rsidRPr="00510AD0" w:rsidRDefault="0055205C" w:rsidP="00D74823">
      <w:pPr>
        <w:pStyle w:val="Heading4"/>
      </w:pPr>
      <w:bookmarkStart w:id="236" w:name="_Ref69141616"/>
      <w:r w:rsidRPr="00510AD0">
        <w:t>any material misrepresentation or omission in any metering (or submetering), Supply Plans or any report or Notice with regard to delivery of the Product (including if Behind the Meter Project, Seller’s Portfolio List), or undue delay or withholding of such data, report or Notice, which misrepresentation, omission or undue delay or withholding is not cured within ten (10) Business Days of Buyer’s written demand therefor;</w:t>
      </w:r>
      <w:bookmarkEnd w:id="236"/>
      <w:r w:rsidRPr="00510AD0">
        <w:t xml:space="preserve"> </w:t>
      </w:r>
    </w:p>
    <w:p w14:paraId="242E29F7" w14:textId="5C3214A7" w:rsidR="0055205C" w:rsidRPr="00510AD0" w:rsidRDefault="0055205C" w:rsidP="00D74823">
      <w:pPr>
        <w:pStyle w:val="Heading4"/>
      </w:pPr>
      <w:bookmarkStart w:id="237" w:name="_Ref69141617"/>
      <w:r w:rsidRPr="00510AD0">
        <w:t>Seller or Project Company intentionally or knowingly delivers, or attempts to deliver Product that is not produced by the Project;</w:t>
      </w:r>
      <w:bookmarkEnd w:id="237"/>
      <w:r w:rsidRPr="00510AD0">
        <w:t xml:space="preserve"> </w:t>
      </w:r>
    </w:p>
    <w:p w14:paraId="1A0CBE3A" w14:textId="09F1CAE7" w:rsidR="0055205C" w:rsidRPr="00510AD0" w:rsidRDefault="0055205C" w:rsidP="00D74823">
      <w:pPr>
        <w:pStyle w:val="Heading4"/>
      </w:pPr>
      <w:bookmarkStart w:id="238" w:name="_Ref69141618"/>
      <w:r w:rsidRPr="00510AD0">
        <w:t xml:space="preserve">Seller fails to achieve the Initial Delivery Date by the end of the IDD Cure Period for reasons other than </w:t>
      </w:r>
      <w:r w:rsidR="000C489F" w:rsidRPr="00510AD0">
        <w:t xml:space="preserve">a </w:t>
      </w:r>
      <w:r w:rsidRPr="00510AD0">
        <w:t>Force Majeure</w:t>
      </w:r>
      <w:r w:rsidR="000C489F" w:rsidRPr="00510AD0">
        <w:t xml:space="preserve"> event</w:t>
      </w:r>
      <w:r w:rsidRPr="00510AD0">
        <w:t xml:space="preserve"> with respect to the Project</w:t>
      </w:r>
      <w:r w:rsidR="000C489F" w:rsidRPr="00510AD0">
        <w:t xml:space="preserve"> in accordance with Article Eight</w:t>
      </w:r>
      <w:r w:rsidRPr="00510AD0">
        <w:t>;</w:t>
      </w:r>
      <w:bookmarkEnd w:id="238"/>
    </w:p>
    <w:p w14:paraId="75EA7435" w14:textId="010C7BBA" w:rsidR="0055205C" w:rsidRPr="00510AD0" w:rsidRDefault="0055205C" w:rsidP="00D74823">
      <w:pPr>
        <w:pStyle w:val="Heading4"/>
      </w:pPr>
      <w:bookmarkStart w:id="239" w:name="_Ref69141619"/>
      <w:r w:rsidRPr="00510AD0">
        <w:t xml:space="preserve">Seller fails to comply with obligations set forth in Section </w:t>
      </w:r>
      <w:r w:rsidR="00286173" w:rsidRPr="00510AD0">
        <w:fldChar w:fldCharType="begin"/>
      </w:r>
      <w:r w:rsidR="00286173" w:rsidRPr="00510AD0">
        <w:instrText xml:space="preserve">  REF _Ref69141571 \w \h \* MERGEFORMAT </w:instrText>
      </w:r>
      <w:r w:rsidR="00286173" w:rsidRPr="00510AD0">
        <w:fldChar w:fldCharType="separate"/>
      </w:r>
      <w:r w:rsidR="007751F5" w:rsidRPr="00510AD0">
        <w:t>3.2</w:t>
      </w:r>
      <w:r w:rsidR="00286173" w:rsidRPr="00510AD0">
        <w:fldChar w:fldCharType="end"/>
      </w:r>
      <w:r w:rsidRPr="00510AD0">
        <w:t>;</w:t>
      </w:r>
      <w:bookmarkEnd w:id="239"/>
      <w:r w:rsidRPr="00510AD0">
        <w:t xml:space="preserve">  </w:t>
      </w:r>
    </w:p>
    <w:p w14:paraId="084F4508" w14:textId="77777777" w:rsidR="0055205C" w:rsidRPr="00510AD0" w:rsidRDefault="0055205C" w:rsidP="00D74823">
      <w:pPr>
        <w:pStyle w:val="Heading4"/>
        <w:numPr>
          <w:ilvl w:val="3"/>
          <w:numId w:val="10"/>
        </w:numPr>
      </w:pPr>
      <w:bookmarkStart w:id="240" w:name="_Ref69141620"/>
      <w:r w:rsidRPr="00510AD0">
        <w:t xml:space="preserve">(1) Seller defaults under or terminates the Seller Supply Agreement, </w:t>
      </w:r>
      <w:bookmarkStart w:id="241" w:name="DocXTextRef59"/>
      <w:r w:rsidRPr="00510AD0">
        <w:t>(2)</w:t>
      </w:r>
      <w:bookmarkEnd w:id="241"/>
      <w:r w:rsidRPr="00510AD0">
        <w:t xml:space="preserve"> Project Company defaults under the Seller Supply Agreement which default has resulted, or is reasonably likely to result, in Seller’s inability to deliver Product to Buyer on the terms and conditions set forth herein, or </w:t>
      </w:r>
      <w:bookmarkStart w:id="242" w:name="DocXTextRef60"/>
      <w:r w:rsidRPr="00510AD0">
        <w:t>(3)</w:t>
      </w:r>
      <w:bookmarkEnd w:id="242"/>
      <w:r w:rsidRPr="00510AD0">
        <w:t xml:space="preserve"> the Seller Supply Agreement is amended, modified, supplemented or otherwise varied in a way that materially impairs, or is likely to materially impair, Seller’s or Project’s ability, or results, or likely to result, in Seller’s or Project’s inability, to deliver the Product on terms and conditions set forth herein;</w:t>
      </w:r>
    </w:p>
    <w:p w14:paraId="477AECC4" w14:textId="02AB2B8E" w:rsidR="0055205C" w:rsidRPr="00510AD0" w:rsidRDefault="0055205C" w:rsidP="00D74823">
      <w:pPr>
        <w:pStyle w:val="Heading4"/>
      </w:pPr>
      <w:bookmarkStart w:id="243" w:name="_Ref69141621"/>
      <w:bookmarkEnd w:id="240"/>
      <w:r w:rsidRPr="00510AD0">
        <w:t xml:space="preserve">during any Delivery Term in excess of twelve </w:t>
      </w:r>
      <w:bookmarkStart w:id="244" w:name="DocXTextRef61"/>
      <w:r w:rsidRPr="00510AD0">
        <w:t>(12)</w:t>
      </w:r>
      <w:bookmarkEnd w:id="244"/>
      <w:r w:rsidRPr="00510AD0">
        <w:t xml:space="preserve"> Contract Months, the amount of Product delivered from the Project as demonstrated by the Confirmed Quantity, </w:t>
      </w:r>
      <w:r w:rsidRPr="00510AD0">
        <w:rPr>
          <w:rFonts w:eastAsiaTheme="minorHAnsi"/>
        </w:rPr>
        <w:t xml:space="preserve">averages less than eighty percent (80%) of the Payment Quantity over a rolling twelve (12) month period for any reason other than Force Majeure affecting the Project; </w:t>
      </w:r>
      <w:bookmarkEnd w:id="243"/>
    </w:p>
    <w:p w14:paraId="51D9FA5C" w14:textId="7BB28647" w:rsidR="0055205C" w:rsidRPr="00510AD0" w:rsidRDefault="0055205C" w:rsidP="00D74823">
      <w:pPr>
        <w:pStyle w:val="Heading4"/>
      </w:pPr>
      <w:bookmarkStart w:id="245" w:name="_Ref69141622"/>
      <w:r w:rsidRPr="00510AD0">
        <w:lastRenderedPageBreak/>
        <w:t xml:space="preserve">during any Delivery Term in excess of twenty four </w:t>
      </w:r>
      <w:bookmarkStart w:id="246" w:name="DocXTextRef62"/>
      <w:r w:rsidRPr="00510AD0">
        <w:t>(24)</w:t>
      </w:r>
      <w:bookmarkEnd w:id="246"/>
      <w:r w:rsidRPr="00510AD0">
        <w:t xml:space="preserve"> Contract Months, the amount of Product delivered from the Project, as demonstrated by the Confirmed Quantity, </w:t>
      </w:r>
      <w:r w:rsidRPr="00510AD0">
        <w:rPr>
          <w:rFonts w:eastAsiaTheme="minorHAnsi"/>
        </w:rPr>
        <w:t>averages less than</w:t>
      </w:r>
      <w:r w:rsidRPr="00510AD0">
        <w:t xml:space="preserve"> eighty-five percent (85%) of the Payment Quantity over a rolling twenty-four (24) month period for any reason other than Force Majeure affecting the Project</w:t>
      </w:r>
      <w:bookmarkEnd w:id="245"/>
      <w:r w:rsidR="00F94B1C" w:rsidRPr="00510AD0">
        <w:t>;</w:t>
      </w:r>
    </w:p>
    <w:p w14:paraId="6417E8C5" w14:textId="77777777" w:rsidR="0055205C" w:rsidRPr="00510AD0" w:rsidRDefault="0055205C" w:rsidP="00811F2F">
      <w:pPr>
        <w:pStyle w:val="Heading4"/>
        <w:numPr>
          <w:ilvl w:val="3"/>
          <w:numId w:val="10"/>
        </w:numPr>
      </w:pPr>
      <w:bookmarkStart w:id="247" w:name="_Ref69141623"/>
      <w:r w:rsidRPr="00510AD0">
        <w:t xml:space="preserve">Project Company applies for, consents to, or acquiesces in the appointment of a trustee, receiver or custodian of its assets (including for a substantial part of the Project), or the initiation of a bankruptcy, reorganization, debt arrangement, moratorium or any other proceeding under bankruptcy laws; </w:t>
      </w:r>
    </w:p>
    <w:p w14:paraId="0449B57F" w14:textId="77777777" w:rsidR="0055205C" w:rsidRPr="00510AD0" w:rsidRDefault="0055205C" w:rsidP="00D74823">
      <w:pPr>
        <w:pStyle w:val="Heading4"/>
        <w:numPr>
          <w:ilvl w:val="3"/>
          <w:numId w:val="10"/>
        </w:numPr>
      </w:pPr>
      <w:r w:rsidRPr="00510AD0">
        <w:t>absent the consent or acquiescence of Buyer, the appointment of a trustee, receiver or custodian of Project Company’s assets (including for a substantial part of the Project), or the initiation of a bankruptcy, reorganization, debt arrangement, moratorium or any other proceeding under bankruptcy laws, which in either case, is not dismissed within sixty (60) days</w:t>
      </w:r>
      <w:r w:rsidR="00B53C53" w:rsidRPr="00510AD0">
        <w:t xml:space="preserve">; </w:t>
      </w:r>
    </w:p>
    <w:bookmarkEnd w:id="247"/>
    <w:p w14:paraId="03B7D232" w14:textId="1CDB3707" w:rsidR="00B53C53" w:rsidRPr="00510AD0" w:rsidRDefault="00B53C53" w:rsidP="00B53C53">
      <w:pPr>
        <w:pStyle w:val="Heading4"/>
      </w:pPr>
      <w:r w:rsidRPr="00510AD0">
        <w:t>For any Showing Year of the Delivery Term, Seller, or the Project's SC, fails to submit a Supply Plan to the CAISO with amounts equal to the amount of Capacity Attributes of Product as required in Section 3.6</w:t>
      </w:r>
      <w:r w:rsidR="00815EA9" w:rsidRPr="00510AD0">
        <w:t>; or</w:t>
      </w:r>
    </w:p>
    <w:p w14:paraId="1FE56154" w14:textId="47C674AC" w:rsidR="00B53C53" w:rsidRPr="00510AD0" w:rsidRDefault="00B53C53" w:rsidP="00B53C53">
      <w:pPr>
        <w:pStyle w:val="Heading4"/>
      </w:pPr>
      <w:r w:rsidRPr="00510AD0">
        <w:t>[with respect to the Guarantor</w:t>
      </w:r>
      <w:r w:rsidR="007535FC" w:rsidRPr="00510AD0">
        <w:rPr>
          <w:rStyle w:val="FootnoteReference"/>
        </w:rPr>
        <w:footnoteReference w:id="22"/>
      </w:r>
      <w:r w:rsidRPr="00510AD0">
        <w:t xml:space="preserve">: </w:t>
      </w:r>
    </w:p>
    <w:p w14:paraId="4E7298CB" w14:textId="77777777" w:rsidR="00B53C53" w:rsidRPr="00510AD0" w:rsidRDefault="00B53C53" w:rsidP="00B53C53">
      <w:pPr>
        <w:pStyle w:val="Heading5"/>
      </w:pPr>
      <w:r w:rsidRPr="00510AD0">
        <w:t xml:space="preserve">if any representation or warranty made by the Guarantor in connection with this Agreement is false or misleading in any material respect when made or when deemed made or repeated; </w:t>
      </w:r>
    </w:p>
    <w:p w14:paraId="1D5C8515" w14:textId="77777777" w:rsidR="00B53C53" w:rsidRPr="00510AD0" w:rsidRDefault="00B53C53" w:rsidP="00B53C53">
      <w:pPr>
        <w:pStyle w:val="Heading5"/>
      </w:pPr>
      <w:r w:rsidRPr="00510AD0">
        <w:t>the failure of the Guarantor to make any payment required or to perform any other material covenant or obligation in the Guaranty made in connection with this Agreement and such failure is not remedied within three (3) Business Days after Notice;</w:t>
      </w:r>
    </w:p>
    <w:p w14:paraId="016A283C" w14:textId="77777777" w:rsidR="00B53C53" w:rsidRPr="00510AD0" w:rsidRDefault="00B53C53" w:rsidP="00B53C53">
      <w:pPr>
        <w:pStyle w:val="Heading5"/>
      </w:pPr>
      <w:r w:rsidRPr="00510AD0">
        <w:t>the Guarantor becomes Bankrupt;</w:t>
      </w:r>
    </w:p>
    <w:p w14:paraId="609642B6" w14:textId="77777777" w:rsidR="00B53C53" w:rsidRPr="00510AD0" w:rsidRDefault="00B53C53" w:rsidP="00B53C53">
      <w:pPr>
        <w:pStyle w:val="Heading5"/>
      </w:pPr>
      <w:r w:rsidRPr="00510AD0">
        <w:t>the failure of the Guarantor’s Guaranty to be in full force and effect for purposes of this Agreement (other than in accordance with its terms) prior to the satisfaction of all obligations of the Seller under the Agreement to which the Guaranty shall relate without the written consent of the Buyer; or</w:t>
      </w:r>
    </w:p>
    <w:p w14:paraId="7F8A33CE" w14:textId="1C01ADC7" w:rsidR="00B53C53" w:rsidRPr="00510AD0" w:rsidRDefault="00B53C53" w:rsidP="00B53C53">
      <w:pPr>
        <w:pStyle w:val="Heading5"/>
      </w:pPr>
      <w:r w:rsidRPr="00510AD0">
        <w:t>the Guarantor shall repudiate, disaffirm, disclaim, or reject, in whole or in part, or challenge the validity of the Guaranty.]</w:t>
      </w:r>
      <w:r w:rsidR="000C489F" w:rsidRPr="00510AD0">
        <w:rPr>
          <w:rStyle w:val="FootnoteReference"/>
        </w:rPr>
        <w:footnoteReference w:id="23"/>
      </w:r>
    </w:p>
    <w:p w14:paraId="1D1ADB37" w14:textId="77777777" w:rsidR="0055205C" w:rsidRPr="00510AD0" w:rsidRDefault="0055205C" w:rsidP="00D74823">
      <w:pPr>
        <w:pStyle w:val="Heading3"/>
      </w:pPr>
      <w:bookmarkStart w:id="248" w:name="_Ref69141625"/>
      <w:bookmarkStart w:id="249" w:name="_Hlk58508106"/>
      <w:r w:rsidRPr="00510AD0">
        <w:t>Either Party will be deemed a Defaulting Party upon the occurrence of any of the following (each a “Party’s Event of Default”):</w:t>
      </w:r>
      <w:bookmarkEnd w:id="248"/>
    </w:p>
    <w:p w14:paraId="2A5884E1" w14:textId="2E2ED2B9" w:rsidR="0055205C" w:rsidRPr="00510AD0" w:rsidRDefault="0055205C" w:rsidP="00D74823">
      <w:pPr>
        <w:pStyle w:val="Heading4"/>
      </w:pPr>
      <w:bookmarkStart w:id="250" w:name="_Ref69141626"/>
      <w:r w:rsidRPr="00510AD0">
        <w:lastRenderedPageBreak/>
        <w:t>a Party applies for, consents to, or acquiesces in the appointment of a trustee, receiver or custodian of its assets or the initiation of a bankruptcy, reorganization, debt arrangement, moratorium or any other proceeding under bankruptcy laws</w:t>
      </w:r>
      <w:bookmarkStart w:id="251" w:name="_Hlk25739092"/>
      <w:r w:rsidRPr="00510AD0">
        <w:t>.</w:t>
      </w:r>
      <w:bookmarkEnd w:id="250"/>
      <w:bookmarkEnd w:id="251"/>
    </w:p>
    <w:p w14:paraId="20EE728C" w14:textId="597FE894" w:rsidR="0055205C" w:rsidRPr="00510AD0" w:rsidRDefault="0055205C" w:rsidP="00D74823">
      <w:pPr>
        <w:pStyle w:val="Heading4"/>
      </w:pPr>
      <w:bookmarkStart w:id="252" w:name="_Ref69141627"/>
      <w:r w:rsidRPr="00510AD0">
        <w:t>absent the consent or acquiescence of a Party, the appointment of a trustee, receiver or custodian of its assets, or the initiation of a bankruptcy, reorganization, debt arrangement, moratorium or any other proceeding under bankruptcy laws, which in either case, is not dismissed within sixty (60) days</w:t>
      </w:r>
      <w:bookmarkStart w:id="253" w:name="_Hlk25739105"/>
      <w:r w:rsidRPr="00510AD0">
        <w:t>.</w:t>
      </w:r>
      <w:bookmarkEnd w:id="252"/>
      <w:bookmarkEnd w:id="253"/>
    </w:p>
    <w:p w14:paraId="76AD3149" w14:textId="77777777" w:rsidR="0055205C" w:rsidRPr="00510AD0" w:rsidRDefault="0055205C" w:rsidP="00D74823">
      <w:pPr>
        <w:pStyle w:val="Heading4"/>
      </w:pPr>
      <w:bookmarkStart w:id="254" w:name="_Ref69141628"/>
      <w:bookmarkEnd w:id="249"/>
      <w:r w:rsidRPr="00510AD0">
        <w:t>a Party fails to pay an amount when due and such failure continues for ten (10) Business Days after Notice thereof is received by the Party failing to make such payment;</w:t>
      </w:r>
      <w:bookmarkEnd w:id="254"/>
    </w:p>
    <w:p w14:paraId="6D48A1D9" w14:textId="18A391AF" w:rsidR="0055205C" w:rsidRPr="00510AD0" w:rsidRDefault="0055205C" w:rsidP="00D74823">
      <w:pPr>
        <w:pStyle w:val="Heading4"/>
      </w:pPr>
      <w:bookmarkStart w:id="255" w:name="_Ref69141629"/>
      <w:r w:rsidRPr="00510AD0">
        <w:t xml:space="preserve">any representation or warranty made by a Party pursuant to Section </w:t>
      </w:r>
      <w:r w:rsidR="00286173" w:rsidRPr="00510AD0">
        <w:fldChar w:fldCharType="begin"/>
      </w:r>
      <w:r w:rsidR="00286173" w:rsidRPr="00510AD0">
        <w:instrText xml:space="preserve">  REF _Ref69141687 \w \h \* MERGEFORMAT </w:instrText>
      </w:r>
      <w:r w:rsidR="00286173" w:rsidRPr="00510AD0">
        <w:fldChar w:fldCharType="separate"/>
      </w:r>
      <w:r w:rsidR="007751F5" w:rsidRPr="00510AD0">
        <w:t>11.1(a)</w:t>
      </w:r>
      <w:r w:rsidR="00286173" w:rsidRPr="00510AD0">
        <w:fldChar w:fldCharType="end"/>
      </w:r>
      <w:r w:rsidRPr="00510AD0">
        <w:t xml:space="preserve"> or Article Fourteen</w:t>
      </w:r>
      <w:r w:rsidRPr="00510AD0">
        <w:rPr>
          <w:kern w:val="24"/>
        </w:rPr>
        <w:t xml:space="preserve"> is false or misleading in any material respect when made</w:t>
      </w:r>
      <w:r w:rsidRPr="00510AD0">
        <w:t xml:space="preserve">, if not cured within thirty (30) days after delivery of Notice from the other Party that any material representation or warranty made in Section </w:t>
      </w:r>
      <w:r w:rsidR="00286173" w:rsidRPr="00510AD0">
        <w:fldChar w:fldCharType="begin"/>
      </w:r>
      <w:r w:rsidR="00286173" w:rsidRPr="00510AD0">
        <w:instrText xml:space="preserve">  REF _Ref69141687 \w \h \* MERGEFORMAT </w:instrText>
      </w:r>
      <w:r w:rsidR="00286173" w:rsidRPr="00510AD0">
        <w:fldChar w:fldCharType="separate"/>
      </w:r>
      <w:r w:rsidR="007751F5" w:rsidRPr="00510AD0">
        <w:t>11.1(a)</w:t>
      </w:r>
      <w:r w:rsidR="00286173" w:rsidRPr="00510AD0">
        <w:fldChar w:fldCharType="end"/>
      </w:r>
      <w:r w:rsidRPr="00510AD0">
        <w:t xml:space="preserve"> or Article Fourteen is false, misleading or erroneous in any material respect;</w:t>
      </w:r>
      <w:bookmarkEnd w:id="255"/>
      <w:r w:rsidRPr="00510AD0">
        <w:t xml:space="preserve"> </w:t>
      </w:r>
    </w:p>
    <w:p w14:paraId="1675E411" w14:textId="77777777" w:rsidR="0055205C" w:rsidRPr="00510AD0" w:rsidRDefault="0055205C" w:rsidP="00D74823">
      <w:pPr>
        <w:pStyle w:val="Heading4"/>
      </w:pPr>
      <w:bookmarkStart w:id="256" w:name="_Ref69141630"/>
      <w:r w:rsidRPr="00510AD0">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bookmarkEnd w:id="256"/>
    </w:p>
    <w:p w14:paraId="43BB18BF" w14:textId="08259E8C" w:rsidR="0055205C" w:rsidRPr="00510AD0" w:rsidRDefault="0055205C" w:rsidP="00D74823">
      <w:pPr>
        <w:pStyle w:val="Heading4"/>
      </w:pPr>
      <w:bookmarkStart w:id="257" w:name="_Ref69141631"/>
      <w:r w:rsidRPr="00510AD0">
        <w:t xml:space="preserve">a Party fails to perform any of its material obligations or covenants under this Agreement not otherwise addressed in this Section </w:t>
      </w:r>
      <w:r w:rsidR="00286173" w:rsidRPr="00510AD0">
        <w:fldChar w:fldCharType="begin"/>
      </w:r>
      <w:r w:rsidR="00286173" w:rsidRPr="00510AD0">
        <w:instrText xml:space="preserve">  REF _Ref69141612 \w \h \* MERGEFORMAT </w:instrText>
      </w:r>
      <w:r w:rsidR="00286173" w:rsidRPr="00510AD0">
        <w:fldChar w:fldCharType="separate"/>
      </w:r>
      <w:r w:rsidR="007751F5" w:rsidRPr="00510AD0">
        <w:t>7.1</w:t>
      </w:r>
      <w:r w:rsidR="00286173" w:rsidRPr="00510AD0">
        <w:fldChar w:fldCharType="end"/>
      </w:r>
      <w:r w:rsidRPr="00510AD0">
        <w:t>, and such default (which is not otherwise specified to be an Event of Default hereunder) continues for thirty (30) days after Notice specifying the failure is received; provided, however, that such period shall be extended for an additional reasonable period not to exceed the lesser of the remaining portion of the Delivery Term and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bookmarkEnd w:id="257"/>
    </w:p>
    <w:p w14:paraId="5886668F" w14:textId="2E8FE00B" w:rsidR="0055205C" w:rsidRPr="00510AD0" w:rsidRDefault="0055205C" w:rsidP="0017021E">
      <w:pPr>
        <w:pStyle w:val="Heading2"/>
        <w:rPr>
          <w:vanish/>
          <w:specVanish/>
        </w:rPr>
      </w:pPr>
      <w:bookmarkStart w:id="258" w:name="_Ref69141632"/>
      <w:bookmarkStart w:id="259" w:name="_Toc70208388"/>
      <w:bookmarkStart w:id="260" w:name="_Toc81215038"/>
      <w:bookmarkStart w:id="261" w:name="_Toc78477811"/>
      <w:bookmarkStart w:id="262" w:name="_Toc99035849"/>
      <w:r w:rsidRPr="00510AD0">
        <w:t>Early Termination</w:t>
      </w:r>
      <w:bookmarkEnd w:id="258"/>
      <w:bookmarkEnd w:id="259"/>
      <w:bookmarkEnd w:id="260"/>
      <w:bookmarkEnd w:id="261"/>
      <w:bookmarkEnd w:id="262"/>
    </w:p>
    <w:p w14:paraId="371963BA" w14:textId="77777777" w:rsidR="0055205C" w:rsidRPr="00510AD0" w:rsidRDefault="0055205C" w:rsidP="00727F6E">
      <w:pPr>
        <w:pStyle w:val="Heading2Continued"/>
      </w:pPr>
      <w:r w:rsidRPr="00510AD0">
        <w:t xml:space="preserve">.  </w:t>
      </w:r>
    </w:p>
    <w:p w14:paraId="6413A000" w14:textId="2795BD9E" w:rsidR="0055205C" w:rsidRPr="00510AD0" w:rsidRDefault="0055205C" w:rsidP="00D74823">
      <w:pPr>
        <w:pStyle w:val="Heading3"/>
      </w:pPr>
      <w:bookmarkStart w:id="263" w:name="_Ref69141633"/>
      <w:r w:rsidRPr="00510AD0">
        <w:t xml:space="preserve">If and for as long as an Event of Default with respect to a Defaulting Party has occurred and is continuing, the other Party (“Non-Defaulting Party”) has the right to </w:t>
      </w:r>
      <w:bookmarkStart w:id="264" w:name="DocXTextRef69"/>
      <w:r w:rsidRPr="00510AD0">
        <w:t>(i)</w:t>
      </w:r>
      <w:bookmarkEnd w:id="264"/>
      <w:r w:rsidRPr="00510AD0">
        <w:t xml:space="preserve"> send Notice, designating a day, no earlier than the day such Notice is deemed to be received (as provided in Section </w:t>
      </w:r>
      <w:r w:rsidR="00286173" w:rsidRPr="00510AD0">
        <w:fldChar w:fldCharType="begin"/>
      </w:r>
      <w:r w:rsidR="00286173" w:rsidRPr="00510AD0">
        <w:instrText xml:space="preserve">  REF _Ref69141842 \w \h \* MERGEFORMAT </w:instrText>
      </w:r>
      <w:r w:rsidR="00286173" w:rsidRPr="00510AD0">
        <w:fldChar w:fldCharType="separate"/>
      </w:r>
      <w:r w:rsidR="007751F5" w:rsidRPr="00510AD0">
        <w:t>21.1</w:t>
      </w:r>
      <w:r w:rsidR="00286173" w:rsidRPr="00510AD0">
        <w:fldChar w:fldCharType="end"/>
      </w:r>
      <w:r w:rsidRPr="00510AD0">
        <w:t xml:space="preserve">) and no later than twenty (20) days after such Notice is deemed to be received (as provided in Section </w:t>
      </w:r>
      <w:r w:rsidR="00286173" w:rsidRPr="00510AD0">
        <w:fldChar w:fldCharType="begin"/>
      </w:r>
      <w:r w:rsidR="00286173" w:rsidRPr="00510AD0">
        <w:instrText xml:space="preserve">  REF _Ref69141842 \w \h \* MERGEFORMAT </w:instrText>
      </w:r>
      <w:r w:rsidR="00286173" w:rsidRPr="00510AD0">
        <w:fldChar w:fldCharType="separate"/>
      </w:r>
      <w:r w:rsidR="007751F5" w:rsidRPr="00510AD0">
        <w:t>21.1</w:t>
      </w:r>
      <w:r w:rsidR="00286173" w:rsidRPr="00510AD0">
        <w:fldChar w:fldCharType="end"/>
      </w:r>
      <w:r w:rsidRPr="00510AD0">
        <w:t xml:space="preserve">), as an early termination date of this Agreement (“Early Termination Date”), (ii) accelerate all amounts owing between the Parties (except for disputed amounts as provided in Section </w:t>
      </w:r>
      <w:r w:rsidR="00286173" w:rsidRPr="00510AD0">
        <w:fldChar w:fldCharType="begin"/>
      </w:r>
      <w:r w:rsidR="00286173" w:rsidRPr="00510AD0">
        <w:instrText xml:space="preserve">  REF _Ref69141657 \w \h \* MERGEFORMAT </w:instrText>
      </w:r>
      <w:r w:rsidR="00286173" w:rsidRPr="00510AD0">
        <w:fldChar w:fldCharType="separate"/>
      </w:r>
      <w:r w:rsidR="007751F5" w:rsidRPr="00510AD0">
        <w:t>9.4</w:t>
      </w:r>
      <w:r w:rsidR="00286173" w:rsidRPr="00510AD0">
        <w:fldChar w:fldCharType="end"/>
      </w:r>
      <w:r w:rsidRPr="00510AD0">
        <w:t xml:space="preserve">), (iii) end the Term effective as of the Early Termination Date, (iv) collect the Termination Payment, </w:t>
      </w:r>
      <w:bookmarkStart w:id="265" w:name="DocXTextRef70"/>
      <w:r w:rsidRPr="00510AD0">
        <w:t>(v)</w:t>
      </w:r>
      <w:bookmarkEnd w:id="265"/>
      <w:r w:rsidRPr="00510AD0">
        <w:t xml:space="preserve"> withhold any payments due to the Defaulting </w:t>
      </w:r>
      <w:r w:rsidRPr="00510AD0">
        <w:lastRenderedPageBreak/>
        <w:t>Party under this Agreement, (vi) suspend performance, and/or (vii) exercise any other right or remedy available at Law or in equity to the extent otherwise permitted under this Agreement.</w:t>
      </w:r>
      <w:bookmarkEnd w:id="263"/>
      <w:r w:rsidRPr="00510AD0">
        <w:t xml:space="preserve">  </w:t>
      </w:r>
    </w:p>
    <w:p w14:paraId="5FEDFA23" w14:textId="77777777" w:rsidR="0055205C" w:rsidRPr="00510AD0" w:rsidRDefault="0055205C" w:rsidP="00D74823">
      <w:pPr>
        <w:pStyle w:val="Heading3"/>
      </w:pPr>
      <w:bookmarkStart w:id="266" w:name="_Ref69141634"/>
      <w:r w:rsidRPr="00510AD0">
        <w:t>In the event of early termination, the Non-Defaulting Party shall calculate, in a commercially reasonable manner, a Termination Payment as of the Early Termination Date; provided that if the Event of Default occurs prior to the Initial Delivery Date and the Seller is the Defaulting Party, then the Termination Payment will be calculated using the Damage Payment Amount instead of the Settlement Amount.  The Non-Defaulting Party shall not have to enter into any transactions to replace the Agreement in order to establish a Settlement Amount.</w:t>
      </w:r>
      <w:bookmarkEnd w:id="266"/>
    </w:p>
    <w:p w14:paraId="47A1FE43" w14:textId="77777777" w:rsidR="0055205C" w:rsidRPr="00510AD0" w:rsidRDefault="0055205C" w:rsidP="00D74823">
      <w:pPr>
        <w:pStyle w:val="Heading3"/>
      </w:pPr>
      <w:bookmarkStart w:id="267" w:name="_Ref69141635"/>
      <w:r w:rsidRPr="00510AD0">
        <w:t>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w:t>
      </w:r>
      <w:bookmarkEnd w:id="267"/>
      <w:r w:rsidRPr="00510AD0">
        <w:t xml:space="preserve"> </w:t>
      </w:r>
    </w:p>
    <w:p w14:paraId="2CA4193F" w14:textId="0E586676" w:rsidR="0055205C" w:rsidRPr="00510AD0" w:rsidRDefault="0055205C" w:rsidP="00D74823">
      <w:pPr>
        <w:pStyle w:val="Heading3"/>
      </w:pPr>
      <w:bookmarkStart w:id="268" w:name="_Ref69141636"/>
      <w:r w:rsidRPr="00510AD0">
        <w:t>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resolved in accordance with Article Eighteen.</w:t>
      </w:r>
      <w:bookmarkEnd w:id="268"/>
      <w:r w:rsidRPr="00510AD0">
        <w:t xml:space="preserve"> </w:t>
      </w:r>
    </w:p>
    <w:p w14:paraId="705F7C1B" w14:textId="37DE8D2C" w:rsidR="000C489F" w:rsidRPr="00510AD0" w:rsidRDefault="000C489F" w:rsidP="000C489F">
      <w:pPr>
        <w:pStyle w:val="Heading3"/>
      </w:pPr>
      <w:r w:rsidRPr="00510AD0">
        <w:t xml:space="preserve">Buyer </w:t>
      </w:r>
      <w:r w:rsidR="00811538" w:rsidRPr="00510AD0">
        <w:t>shall have the right to terminate this Agreement in accordance with Section 3.2(a)(v).  If the Agreement is terminated pursuant to Section 3.2(a)(v), the provisions of this Article Seven shall apply, except that no Termination Payment shall be owed in connection with such termination (other than payment of any amounts due and outstanding prior to the date of such termination</w:t>
      </w:r>
      <w:r w:rsidRPr="00510AD0">
        <w:t>).</w:t>
      </w:r>
    </w:p>
    <w:p w14:paraId="2E69559D" w14:textId="77777777" w:rsidR="0055205C" w:rsidRPr="00510AD0" w:rsidRDefault="0055205C" w:rsidP="0017021E">
      <w:pPr>
        <w:pStyle w:val="Heading2"/>
        <w:rPr>
          <w:vanish/>
          <w:specVanish/>
        </w:rPr>
      </w:pPr>
      <w:bookmarkStart w:id="269" w:name="_Ref69141637"/>
      <w:bookmarkStart w:id="270" w:name="_Toc70208389"/>
      <w:bookmarkStart w:id="271" w:name="_Toc81215039"/>
      <w:bookmarkStart w:id="272" w:name="_Toc78477812"/>
      <w:bookmarkStart w:id="273" w:name="_Toc99035850"/>
      <w:r w:rsidRPr="00510AD0">
        <w:t>Rights And Remedies Are Cumulative</w:t>
      </w:r>
      <w:bookmarkEnd w:id="269"/>
      <w:bookmarkEnd w:id="270"/>
      <w:bookmarkEnd w:id="271"/>
      <w:bookmarkEnd w:id="272"/>
      <w:bookmarkEnd w:id="273"/>
    </w:p>
    <w:p w14:paraId="1A0625B4" w14:textId="77777777" w:rsidR="0055205C" w:rsidRPr="00510AD0" w:rsidRDefault="0055205C" w:rsidP="00727F6E">
      <w:pPr>
        <w:pStyle w:val="Heading2Continued"/>
      </w:pPr>
      <w:r w:rsidRPr="00510AD0">
        <w:t xml:space="preserve">.  The rights and remedies of a Party pursuant to this Article Seven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78E130AC" w14:textId="77777777" w:rsidR="0055205C" w:rsidRPr="00510AD0" w:rsidRDefault="0055205C" w:rsidP="0017021E">
      <w:pPr>
        <w:pStyle w:val="Heading2"/>
        <w:rPr>
          <w:vanish/>
          <w:specVanish/>
        </w:rPr>
      </w:pPr>
      <w:bookmarkStart w:id="274" w:name="_Ref69141638"/>
      <w:bookmarkStart w:id="275" w:name="_Toc70208390"/>
      <w:bookmarkStart w:id="276" w:name="_Toc81215040"/>
      <w:bookmarkStart w:id="277" w:name="_Toc78477813"/>
      <w:bookmarkStart w:id="278" w:name="_Toc99035851"/>
      <w:r w:rsidRPr="00510AD0">
        <w:t>Waiver</w:t>
      </w:r>
      <w:bookmarkEnd w:id="274"/>
      <w:bookmarkEnd w:id="275"/>
      <w:bookmarkEnd w:id="276"/>
      <w:bookmarkEnd w:id="277"/>
      <w:bookmarkEnd w:id="278"/>
    </w:p>
    <w:p w14:paraId="72151EDB" w14:textId="5DD5A8F6" w:rsidR="0055205C" w:rsidRPr="00510AD0" w:rsidRDefault="0055205C" w:rsidP="00727F6E">
      <w:pPr>
        <w:pStyle w:val="Heading2Continued"/>
      </w:pPr>
      <w:r w:rsidRPr="00510AD0">
        <w:t xml:space="preserve">.  The Non-Defaulting Party will be deemed to have waived its rights to declare an Early Termination Date and to demand remedies under Section </w:t>
      </w:r>
      <w:r w:rsidR="00286173" w:rsidRPr="00510AD0">
        <w:fldChar w:fldCharType="begin"/>
      </w:r>
      <w:r w:rsidR="00286173" w:rsidRPr="00510AD0">
        <w:instrText xml:space="preserve">  REF _Ref69141632 \w \h \* MERGEFORMAT </w:instrText>
      </w:r>
      <w:r w:rsidR="00286173" w:rsidRPr="00510AD0">
        <w:fldChar w:fldCharType="separate"/>
      </w:r>
      <w:r w:rsidR="007751F5" w:rsidRPr="00510AD0">
        <w:t>7.2</w:t>
      </w:r>
      <w:r w:rsidR="00286173" w:rsidRPr="00510AD0">
        <w:fldChar w:fldCharType="end"/>
      </w:r>
      <w:r w:rsidRPr="00510AD0">
        <w:t xml:space="preserve">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w:t>
      </w:r>
      <w:bookmarkStart w:id="279" w:name="DocXTextRef74"/>
      <w:r w:rsidRPr="00510AD0">
        <w:t>(a)</w:t>
      </w:r>
      <w:bookmarkEnd w:id="279"/>
      <w:r w:rsidRPr="00510AD0">
        <w:t xml:space="preserve"> the Defaulting Party has consented to an extension of time or </w:t>
      </w:r>
      <w:bookmarkStart w:id="280" w:name="DocXTextRef75"/>
      <w:r w:rsidRPr="00510AD0">
        <w:t>(b)</w:t>
      </w:r>
      <w:bookmarkEnd w:id="280"/>
      <w:r w:rsidRPr="00510AD0">
        <w:t xml:space="preserve">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w:t>
      </w:r>
      <w:r w:rsidRPr="00510AD0">
        <w:lastRenderedPageBreak/>
        <w:t xml:space="preserve">suspend performance under Section </w:t>
      </w:r>
      <w:r w:rsidR="00286173" w:rsidRPr="00510AD0">
        <w:fldChar w:fldCharType="begin"/>
      </w:r>
      <w:r w:rsidR="00286173" w:rsidRPr="00510AD0">
        <w:instrText xml:space="preserve">  REF _Ref69141632 \w \h \* MERGEFORMAT </w:instrText>
      </w:r>
      <w:r w:rsidR="00286173" w:rsidRPr="00510AD0">
        <w:fldChar w:fldCharType="separate"/>
      </w:r>
      <w:r w:rsidR="007751F5" w:rsidRPr="00510AD0">
        <w:t>7.2</w:t>
      </w:r>
      <w:r w:rsidR="00286173" w:rsidRPr="00510AD0">
        <w:fldChar w:fldCharType="end"/>
      </w:r>
      <w:r w:rsidRPr="00510AD0">
        <w:t xml:space="preserve"> for a period of more than twenty (20) Business Days unless an Early Termination Date has been declared, and Notice thereof given, in accordance with Section </w:t>
      </w:r>
      <w:r w:rsidR="00286173" w:rsidRPr="00510AD0">
        <w:fldChar w:fldCharType="begin"/>
      </w:r>
      <w:r w:rsidR="00286173" w:rsidRPr="00510AD0">
        <w:instrText xml:space="preserve">  REF _Ref69141632 \w \h \* MERGEFORMAT </w:instrText>
      </w:r>
      <w:r w:rsidR="00286173" w:rsidRPr="00510AD0">
        <w:fldChar w:fldCharType="separate"/>
      </w:r>
      <w:r w:rsidR="007751F5" w:rsidRPr="00510AD0">
        <w:t>7.2</w:t>
      </w:r>
      <w:r w:rsidR="00286173" w:rsidRPr="00510AD0">
        <w:fldChar w:fldCharType="end"/>
      </w:r>
      <w:r w:rsidRPr="00510AD0">
        <w:t>.</w:t>
      </w:r>
    </w:p>
    <w:p w14:paraId="2F4DB8D0" w14:textId="77777777" w:rsidR="0055205C" w:rsidRPr="00510AD0" w:rsidRDefault="0055205C" w:rsidP="00E50639">
      <w:pPr>
        <w:pStyle w:val="Heading1"/>
      </w:pPr>
      <w:bookmarkStart w:id="281" w:name="_Toc70208391"/>
      <w:bookmarkStart w:id="282" w:name="_Toc81215041"/>
      <w:bookmarkStart w:id="283" w:name="_Toc78477814"/>
      <w:bookmarkStart w:id="284" w:name="_Toc99035852"/>
      <w:r w:rsidRPr="00510AD0">
        <w:br/>
      </w:r>
      <w:bookmarkStart w:id="285" w:name="_Ref69141639"/>
      <w:r w:rsidRPr="00510AD0">
        <w:t>FORCE MAJEURE</w:t>
      </w:r>
      <w:bookmarkEnd w:id="281"/>
      <w:bookmarkEnd w:id="282"/>
      <w:bookmarkEnd w:id="283"/>
      <w:bookmarkEnd w:id="284"/>
      <w:bookmarkEnd w:id="285"/>
    </w:p>
    <w:p w14:paraId="53B7C3C6" w14:textId="77777777" w:rsidR="0055205C" w:rsidRPr="00510AD0" w:rsidRDefault="0055205C" w:rsidP="0017021E">
      <w:pPr>
        <w:pStyle w:val="Heading2"/>
      </w:pPr>
      <w:bookmarkStart w:id="286" w:name="_Ref69141640"/>
      <w:bookmarkStart w:id="287" w:name="_Toc70208392"/>
      <w:bookmarkStart w:id="288" w:name="_Toc81215042"/>
      <w:bookmarkStart w:id="289" w:name="_Toc78477815"/>
      <w:bookmarkStart w:id="290" w:name="_Toc99035853"/>
      <w:r w:rsidRPr="00510AD0">
        <w:t>Force Majeure.</w:t>
      </w:r>
      <w:bookmarkEnd w:id="286"/>
      <w:bookmarkEnd w:id="287"/>
      <w:bookmarkEnd w:id="288"/>
      <w:bookmarkEnd w:id="289"/>
      <w:bookmarkEnd w:id="290"/>
    </w:p>
    <w:p w14:paraId="4BDE7652" w14:textId="3AE9E9ED" w:rsidR="0055205C" w:rsidRPr="00510AD0" w:rsidRDefault="0055205C" w:rsidP="00D74823">
      <w:pPr>
        <w:pStyle w:val="Heading3"/>
      </w:pPr>
      <w:bookmarkStart w:id="291" w:name="_Ref69141641"/>
      <w:r w:rsidRPr="00510AD0">
        <w:rPr>
          <w:u w:val="single"/>
        </w:rPr>
        <w:t>Effect of Force Majeure</w:t>
      </w:r>
      <w:r w:rsidRPr="00510AD0">
        <w:t xml:space="preserve">.  A Party shall not be considered to be in default in the performance of its obligations </w:t>
      </w:r>
      <w:r w:rsidR="00817F20" w:rsidRPr="00510AD0">
        <w:t>[(including, if and as applicable, calculation of Energy Settlement under Section 6.2 to the extent that a Force Majeure event impacts delivery of Energy from the Project to the CAISO controlled grid)]</w:t>
      </w:r>
      <w:r w:rsidR="00817F20" w:rsidRPr="00510AD0">
        <w:rPr>
          <w:rStyle w:val="FootnoteReference"/>
        </w:rPr>
        <w:footnoteReference w:id="24"/>
      </w:r>
      <w:r w:rsidR="00817F20" w:rsidRPr="00510AD0">
        <w:t xml:space="preserve"> </w:t>
      </w:r>
      <w:r w:rsidRPr="00510AD0">
        <w:t xml:space="preserve">to the extent that the failure or delay of its performance </w:t>
      </w:r>
      <w:r w:rsidR="00C90571" w:rsidRPr="00510AD0">
        <w:t xml:space="preserve">obligations </w:t>
      </w:r>
      <w:r w:rsidRPr="00510AD0">
        <w:t>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initiating the claim.</w:t>
      </w:r>
      <w:bookmarkEnd w:id="291"/>
    </w:p>
    <w:p w14:paraId="306DF724" w14:textId="3B9B619F" w:rsidR="0055205C" w:rsidRPr="00510AD0" w:rsidRDefault="0055205C" w:rsidP="00D74823">
      <w:pPr>
        <w:pStyle w:val="Heading3"/>
      </w:pPr>
      <w:bookmarkStart w:id="292" w:name="_Ref69141642"/>
      <w:r w:rsidRPr="00510AD0">
        <w:rPr>
          <w:u w:val="single"/>
        </w:rPr>
        <w:t>Notice of Force Majeure</w:t>
      </w:r>
      <w:r w:rsidRPr="00510AD0">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bookmarkEnd w:id="292"/>
    </w:p>
    <w:p w14:paraId="05AEE145" w14:textId="6EC31A23" w:rsidR="0055205C" w:rsidRPr="00510AD0" w:rsidRDefault="0055205C" w:rsidP="00D74823">
      <w:pPr>
        <w:pStyle w:val="Heading3"/>
      </w:pPr>
      <w:bookmarkStart w:id="293" w:name="_Ref69141643"/>
      <w:r w:rsidRPr="00510AD0">
        <w:rPr>
          <w:u w:val="single"/>
        </w:rPr>
        <w:t>Mitigation of Force Majeure</w:t>
      </w:r>
      <w:r w:rsidRPr="00510AD0">
        <w:t xml:space="preserve">.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Expected Initial Delivery Date as a result of a Force Majeure </w:t>
      </w:r>
      <w:r w:rsidR="00801B4A" w:rsidRPr="00510AD0">
        <w:t xml:space="preserve">event </w:t>
      </w:r>
      <w:r w:rsidRPr="00510AD0">
        <w:t>affecting the Project declared by Seller in accordance with Article Two, then Seller shall work diligently with the Project Company to resolve the effect of the Force Majeure and provide evidence of its efforts promptly upon Buyer’s written request.</w:t>
      </w:r>
      <w:bookmarkEnd w:id="293"/>
      <w:r w:rsidR="00A55B21" w:rsidRPr="00510AD0">
        <w:t xml:space="preserve"> </w:t>
      </w:r>
      <w:r w:rsidR="00FE7C0B" w:rsidRPr="00510AD0">
        <w:t xml:space="preserve">If the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w:t>
      </w:r>
      <w:r w:rsidR="00FE7C0B" w:rsidRPr="00510AD0">
        <w:lastRenderedPageBreak/>
        <w:t>or pandemics are now reasonably foreseeable, that Seller had taken all due care to put mitigation in place to bolster against any performance failures related to an epidemic or pandemic and how, nonetheless, such failures persisted</w:t>
      </w:r>
    </w:p>
    <w:p w14:paraId="2104C898" w14:textId="1FB53ED1" w:rsidR="0055205C" w:rsidRPr="00510AD0" w:rsidRDefault="0055205C" w:rsidP="00D74823">
      <w:pPr>
        <w:pStyle w:val="Heading3"/>
      </w:pPr>
      <w:bookmarkStart w:id="294" w:name="_Ref69141644"/>
      <w:r w:rsidRPr="00510AD0">
        <w:rPr>
          <w:u w:val="single"/>
        </w:rPr>
        <w:t>Force Majeure Failure</w:t>
      </w:r>
      <w:r w:rsidRPr="00510AD0">
        <w:t xml:space="preserve">. Subject to Section </w:t>
      </w:r>
      <w:r w:rsidR="00286173" w:rsidRPr="00510AD0">
        <w:fldChar w:fldCharType="begin"/>
      </w:r>
      <w:r w:rsidR="00286173" w:rsidRPr="00510AD0">
        <w:instrText xml:space="preserve">  REF _Ref69141641 \w \h \* MERGEFORMAT </w:instrText>
      </w:r>
      <w:r w:rsidR="00286173" w:rsidRPr="00510AD0">
        <w:fldChar w:fldCharType="separate"/>
      </w:r>
      <w:r w:rsidR="007751F5" w:rsidRPr="00510AD0">
        <w:t>8.1(a)</w:t>
      </w:r>
      <w:r w:rsidR="00286173" w:rsidRPr="00510AD0">
        <w:fldChar w:fldCharType="end"/>
      </w:r>
      <w:r w:rsidRPr="00510AD0">
        <w:t>, Buyer shall have the right, but not the obligation, to terminate this Agreement after the occurrence of the following, each constituting a “Force Majeure Failure":</w:t>
      </w:r>
      <w:bookmarkEnd w:id="294"/>
    </w:p>
    <w:p w14:paraId="4F902F5B" w14:textId="77777777" w:rsidR="0055205C" w:rsidRPr="00510AD0" w:rsidRDefault="0055205C" w:rsidP="00D74823">
      <w:pPr>
        <w:pStyle w:val="Heading4"/>
      </w:pPr>
      <w:bookmarkStart w:id="295" w:name="_Ref69141645"/>
      <w:r w:rsidRPr="00510AD0">
        <w:t xml:space="preserve">if during any Delivery Term in excess of twenty-four </w:t>
      </w:r>
      <w:bookmarkStart w:id="296" w:name="DocXTextRef77"/>
      <w:r w:rsidRPr="00510AD0">
        <w:t>(24)</w:t>
      </w:r>
      <w:bookmarkEnd w:id="296"/>
      <w:r w:rsidRPr="00510AD0">
        <w:t xml:space="preserve"> Contract Months, the amount of Product delivered from the Project, as demonstrated by the Confirmed Quantity, averages less than seventy percent (70%) of the Payment Quantity over a rolling twenty-four (24) month period for any reason;</w:t>
      </w:r>
      <w:bookmarkEnd w:id="295"/>
      <w:r w:rsidRPr="00510AD0">
        <w:t xml:space="preserve"> </w:t>
      </w:r>
    </w:p>
    <w:p w14:paraId="6975A27A" w14:textId="77777777" w:rsidR="0055205C" w:rsidRPr="00510AD0" w:rsidRDefault="0055205C" w:rsidP="00D74823">
      <w:pPr>
        <w:pStyle w:val="Heading4"/>
      </w:pPr>
      <w:bookmarkStart w:id="297" w:name="_Ref69141646"/>
      <w:r w:rsidRPr="00510AD0">
        <w:t>if the Project is destroyed or rendered inoperable by an event of Force Majeure; or</w:t>
      </w:r>
      <w:bookmarkEnd w:id="297"/>
      <w:r w:rsidRPr="00510AD0">
        <w:t xml:space="preserve"> </w:t>
      </w:r>
    </w:p>
    <w:p w14:paraId="60E71C27" w14:textId="036E5E7C" w:rsidR="0055205C" w:rsidRPr="00510AD0" w:rsidRDefault="0055205C" w:rsidP="00D74823">
      <w:pPr>
        <w:pStyle w:val="Heading4"/>
      </w:pPr>
      <w:bookmarkStart w:id="298" w:name="_Ref69141647"/>
      <w:r w:rsidRPr="00510AD0">
        <w:t xml:space="preserve">if Seller is unable, due solely to a Force Majeure event, to achieve the Initial Delivery Date </w:t>
      </w:r>
      <w:r w:rsidR="00BF3FF6" w:rsidRPr="00510AD0">
        <w:t xml:space="preserve">within </w:t>
      </w:r>
      <w:r w:rsidR="006A0171" w:rsidRPr="00510AD0">
        <w:t>six</w:t>
      </w:r>
      <w:r w:rsidRPr="00510AD0">
        <w:t xml:space="preserve"> (</w:t>
      </w:r>
      <w:r w:rsidR="006A0171" w:rsidRPr="00510AD0">
        <w:t>6</w:t>
      </w:r>
      <w:r w:rsidRPr="00510AD0">
        <w:t xml:space="preserve">) </w:t>
      </w:r>
      <w:r w:rsidR="006A0171" w:rsidRPr="00510AD0">
        <w:t xml:space="preserve">months </w:t>
      </w:r>
      <w:r w:rsidRPr="00510AD0">
        <w:t>after the Expected Initial Delivery Date.</w:t>
      </w:r>
      <w:bookmarkEnd w:id="298"/>
    </w:p>
    <w:p w14:paraId="1D2FEB59" w14:textId="20494514" w:rsidR="0055205C" w:rsidRPr="00510AD0" w:rsidRDefault="0055205C" w:rsidP="00D74823">
      <w:pPr>
        <w:pStyle w:val="Heading3"/>
      </w:pPr>
      <w:bookmarkStart w:id="299" w:name="_Ref69141648"/>
      <w:r w:rsidRPr="00510AD0">
        <w:rPr>
          <w:u w:val="single"/>
        </w:rPr>
        <w:t>Effect of Termination for Force Majeure Failure</w:t>
      </w:r>
      <w:r w:rsidRPr="00510AD0">
        <w:t xml:space="preserve">.  If Buyer exercises its termination right in connection with a Force Majeure Failure under Section </w:t>
      </w:r>
      <w:r w:rsidR="00286173" w:rsidRPr="00510AD0">
        <w:fldChar w:fldCharType="begin"/>
      </w:r>
      <w:r w:rsidR="00286173" w:rsidRPr="00510AD0">
        <w:instrText xml:space="preserve">  REF _Ref69141644 \w \h \* MERGEFORMAT </w:instrText>
      </w:r>
      <w:r w:rsidR="00286173" w:rsidRPr="00510AD0">
        <w:fldChar w:fldCharType="separate"/>
      </w:r>
      <w:r w:rsidR="007751F5" w:rsidRPr="00510AD0">
        <w:t>8.1(d)</w:t>
      </w:r>
      <w:r w:rsidR="00286173" w:rsidRPr="00510AD0">
        <w:fldChar w:fldCharType="end"/>
      </w:r>
      <w:r w:rsidRPr="00510AD0">
        <w:t xml:space="preserve">, then the Agreement shall terminate without further liability of either Party to the other, effective upon the date set forth in Buyer’s Notice of termination, subject to each Party’s satisfaction of all of the final payment and survival obligations set forth in Section </w:t>
      </w:r>
      <w:r w:rsidR="00286173" w:rsidRPr="00510AD0">
        <w:fldChar w:fldCharType="begin"/>
      </w:r>
      <w:r w:rsidR="00286173" w:rsidRPr="00510AD0">
        <w:instrText xml:space="preserve">  REF _Ref69141537 \w \h \* MERGEFORMAT </w:instrText>
      </w:r>
      <w:r w:rsidR="00286173" w:rsidRPr="00510AD0">
        <w:fldChar w:fldCharType="separate"/>
      </w:r>
      <w:r w:rsidR="007751F5" w:rsidRPr="00510AD0">
        <w:t>1.1(a)</w:t>
      </w:r>
      <w:r w:rsidR="00286173" w:rsidRPr="00510AD0">
        <w:fldChar w:fldCharType="end"/>
      </w:r>
      <w:r w:rsidRPr="00510AD0">
        <w:t>.</w:t>
      </w:r>
      <w:bookmarkEnd w:id="299"/>
    </w:p>
    <w:p w14:paraId="52646D61" w14:textId="77777777" w:rsidR="0055205C" w:rsidRPr="00510AD0" w:rsidRDefault="0055205C" w:rsidP="00E50639">
      <w:pPr>
        <w:pStyle w:val="Heading1"/>
      </w:pPr>
      <w:bookmarkStart w:id="300" w:name="_Toc70208393"/>
      <w:bookmarkStart w:id="301" w:name="_Toc81215043"/>
      <w:bookmarkStart w:id="302" w:name="_Toc78477816"/>
      <w:bookmarkStart w:id="303" w:name="_Toc99035854"/>
      <w:r w:rsidRPr="00510AD0">
        <w:br/>
      </w:r>
      <w:bookmarkStart w:id="304" w:name="_Ref69141649"/>
      <w:r w:rsidRPr="00510AD0">
        <w:t>PAYMENT AND NETTING</w:t>
      </w:r>
      <w:bookmarkEnd w:id="300"/>
      <w:bookmarkEnd w:id="301"/>
      <w:bookmarkEnd w:id="302"/>
      <w:bookmarkEnd w:id="303"/>
      <w:bookmarkEnd w:id="304"/>
    </w:p>
    <w:p w14:paraId="71C4F6FB" w14:textId="77777777" w:rsidR="0055205C" w:rsidRPr="00510AD0" w:rsidRDefault="0055205C" w:rsidP="0017021E">
      <w:pPr>
        <w:pStyle w:val="Heading2"/>
        <w:rPr>
          <w:vanish/>
          <w:specVanish/>
        </w:rPr>
      </w:pPr>
      <w:bookmarkStart w:id="305" w:name="_Ref69141650"/>
      <w:bookmarkStart w:id="306" w:name="_Toc70208394"/>
      <w:bookmarkStart w:id="307" w:name="_Toc81215044"/>
      <w:bookmarkStart w:id="308" w:name="_Toc78477817"/>
      <w:bookmarkStart w:id="309" w:name="_Toc99035855"/>
      <w:r w:rsidRPr="00510AD0">
        <w:t>Billing and Payment</w:t>
      </w:r>
      <w:bookmarkEnd w:id="305"/>
      <w:bookmarkEnd w:id="306"/>
      <w:bookmarkEnd w:id="307"/>
      <w:bookmarkEnd w:id="308"/>
      <w:bookmarkEnd w:id="309"/>
    </w:p>
    <w:p w14:paraId="2C43E5BC" w14:textId="77777777" w:rsidR="0055205C" w:rsidRPr="00510AD0" w:rsidRDefault="0055205C" w:rsidP="00727F6E">
      <w:pPr>
        <w:pStyle w:val="Heading2Continued"/>
      </w:pPr>
      <w:r w:rsidRPr="00510AD0">
        <w:t>.  On or before the fifteenth (15</w:t>
      </w:r>
      <w:r w:rsidRPr="00510AD0">
        <w:rPr>
          <w:vertAlign w:val="superscript"/>
        </w:rPr>
        <w:t>th</w:t>
      </w:r>
      <w:r w:rsidRPr="00510AD0">
        <w:t>) calendar day following each Contract Month:</w:t>
      </w:r>
    </w:p>
    <w:p w14:paraId="43D11C29" w14:textId="77777777" w:rsidR="0055205C" w:rsidRPr="00510AD0" w:rsidRDefault="0055205C" w:rsidP="00D74823">
      <w:pPr>
        <w:pStyle w:val="Heading3"/>
      </w:pPr>
      <w:bookmarkStart w:id="310" w:name="_Ref69141651"/>
      <w:r w:rsidRPr="00510AD0">
        <w:t>Seller shall invoice Buyer, in arrears, for all amounts due from Buyer to Seller under this Agreement, including, as applicable:</w:t>
      </w:r>
      <w:bookmarkEnd w:id="310"/>
    </w:p>
    <w:p w14:paraId="483239F2" w14:textId="77777777" w:rsidR="0055205C" w:rsidRPr="00510AD0" w:rsidRDefault="0055205C" w:rsidP="00D74823">
      <w:pPr>
        <w:pStyle w:val="Heading4"/>
      </w:pPr>
      <w:bookmarkStart w:id="311" w:name="_Ref69141652"/>
      <w:r w:rsidRPr="00510AD0">
        <w:t>the Monthly Payment, if positive, and</w:t>
      </w:r>
      <w:bookmarkEnd w:id="311"/>
    </w:p>
    <w:p w14:paraId="49E5C5B7" w14:textId="77777777" w:rsidR="0055205C" w:rsidRPr="00510AD0" w:rsidRDefault="0055205C" w:rsidP="00D74823">
      <w:pPr>
        <w:pStyle w:val="Heading4"/>
      </w:pPr>
      <w:bookmarkStart w:id="312" w:name="_Ref69141653"/>
      <w:r w:rsidRPr="00510AD0">
        <w:t>other compensatory adjustments required by this Agreement, including adjustments for Governmental Charges; and</w:t>
      </w:r>
      <w:bookmarkEnd w:id="312"/>
      <w:r w:rsidRPr="00510AD0">
        <w:t xml:space="preserve"> </w:t>
      </w:r>
    </w:p>
    <w:p w14:paraId="0EDEDE4B" w14:textId="77777777" w:rsidR="0055205C" w:rsidRPr="00510AD0" w:rsidRDefault="0055205C" w:rsidP="00D74823">
      <w:pPr>
        <w:pStyle w:val="Heading3"/>
      </w:pPr>
      <w:bookmarkStart w:id="313" w:name="_Ref69141654"/>
      <w:r w:rsidRPr="00510AD0">
        <w:t>if applicable, Buyer shall invoice Seller, in arrears, for any amounts due from Seller to Buyer under this Agreement, including the Monthly Payment, if negative.</w:t>
      </w:r>
      <w:bookmarkEnd w:id="313"/>
      <w:r w:rsidRPr="00510AD0">
        <w:t xml:space="preserve">  </w:t>
      </w:r>
    </w:p>
    <w:p w14:paraId="17028A70" w14:textId="77777777" w:rsidR="0055205C" w:rsidRPr="00510AD0" w:rsidRDefault="0055205C" w:rsidP="0017021E">
      <w:pPr>
        <w:pStyle w:val="Heading2"/>
        <w:rPr>
          <w:vanish/>
          <w:specVanish/>
        </w:rPr>
      </w:pPr>
      <w:bookmarkStart w:id="314" w:name="_Ref69141655"/>
      <w:bookmarkStart w:id="315" w:name="_Toc70208395"/>
      <w:bookmarkStart w:id="316" w:name="_Toc81215045"/>
      <w:bookmarkStart w:id="317" w:name="_Toc78477818"/>
      <w:bookmarkStart w:id="318" w:name="_Toc99035856"/>
      <w:r w:rsidRPr="00510AD0">
        <w:t>Netting</w:t>
      </w:r>
      <w:bookmarkEnd w:id="314"/>
      <w:bookmarkEnd w:id="315"/>
      <w:bookmarkEnd w:id="316"/>
      <w:bookmarkEnd w:id="317"/>
      <w:bookmarkEnd w:id="318"/>
    </w:p>
    <w:p w14:paraId="57859E16" w14:textId="77777777" w:rsidR="0055205C" w:rsidRPr="00510AD0" w:rsidRDefault="0055205C" w:rsidP="00727F6E">
      <w:pPr>
        <w:pStyle w:val="Heading2Continued"/>
      </w:pPr>
      <w:r w:rsidRPr="00510AD0">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3C0EA30F" w14:textId="77777777" w:rsidR="0055205C" w:rsidRPr="00510AD0" w:rsidRDefault="0055205C" w:rsidP="0017021E">
      <w:pPr>
        <w:pStyle w:val="Heading2"/>
        <w:rPr>
          <w:vanish/>
          <w:specVanish/>
        </w:rPr>
      </w:pPr>
      <w:bookmarkStart w:id="319" w:name="_Ref69141656"/>
      <w:bookmarkStart w:id="320" w:name="_Toc70208396"/>
      <w:bookmarkStart w:id="321" w:name="_Toc81215046"/>
      <w:bookmarkStart w:id="322" w:name="_Toc78477819"/>
      <w:bookmarkStart w:id="323" w:name="_Toc99035857"/>
      <w:r w:rsidRPr="00510AD0">
        <w:lastRenderedPageBreak/>
        <w:t>Payment</w:t>
      </w:r>
      <w:bookmarkEnd w:id="319"/>
      <w:bookmarkEnd w:id="320"/>
      <w:bookmarkEnd w:id="321"/>
      <w:bookmarkEnd w:id="322"/>
      <w:bookmarkEnd w:id="323"/>
    </w:p>
    <w:p w14:paraId="189253F6" w14:textId="77777777" w:rsidR="0055205C" w:rsidRPr="00510AD0" w:rsidRDefault="0055205C" w:rsidP="00727F6E">
      <w:pPr>
        <w:pStyle w:val="Heading2Continued"/>
      </w:pPr>
      <w:r w:rsidRPr="00510AD0">
        <w:t>.  Payment of all undisputed amounts owed shall be due by the later of the twenty-fifth (25</w:t>
      </w:r>
      <w:r w:rsidRPr="00510AD0">
        <w:rPr>
          <w:vertAlign w:val="superscript"/>
        </w:rPr>
        <w:t>th</w:t>
      </w:r>
      <w:r w:rsidRPr="00510AD0">
        <w:t>) day of the month or ten (10) calendar days after receipt of invoice (“Monthly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40ABD238" w14:textId="77777777" w:rsidR="0055205C" w:rsidRPr="00510AD0" w:rsidRDefault="0055205C" w:rsidP="0017021E">
      <w:pPr>
        <w:pStyle w:val="Heading2"/>
        <w:rPr>
          <w:vanish/>
          <w:specVanish/>
        </w:rPr>
      </w:pPr>
      <w:bookmarkStart w:id="324" w:name="_Ref69141657"/>
      <w:bookmarkStart w:id="325" w:name="_Toc70208397"/>
      <w:bookmarkStart w:id="326" w:name="_Toc81215047"/>
      <w:bookmarkStart w:id="327" w:name="_Toc78477820"/>
      <w:bookmarkStart w:id="328" w:name="_Toc99035858"/>
      <w:r w:rsidRPr="00510AD0">
        <w:t>Disputes and Adjustments of Invoices</w:t>
      </w:r>
      <w:bookmarkEnd w:id="324"/>
      <w:bookmarkEnd w:id="325"/>
      <w:bookmarkEnd w:id="326"/>
      <w:bookmarkEnd w:id="327"/>
      <w:bookmarkEnd w:id="328"/>
    </w:p>
    <w:p w14:paraId="1AAC7D9F" w14:textId="3217324F" w:rsidR="0055205C" w:rsidRPr="00510AD0" w:rsidRDefault="0055205C" w:rsidP="00727F6E">
      <w:pPr>
        <w:pStyle w:val="Heading2Continued"/>
      </w:pPr>
      <w:r w:rsidRPr="00510AD0">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Eighteen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rsidR="00286173" w:rsidRPr="00510AD0">
        <w:fldChar w:fldCharType="begin"/>
      </w:r>
      <w:r w:rsidR="00286173" w:rsidRPr="00510AD0">
        <w:instrText xml:space="preserve">  REF _Ref69141657 \w \h \* MERGEFORMAT </w:instrText>
      </w:r>
      <w:r w:rsidR="00286173" w:rsidRPr="00510AD0">
        <w:fldChar w:fldCharType="separate"/>
      </w:r>
      <w:r w:rsidR="007751F5" w:rsidRPr="00510AD0">
        <w:t>9.4</w:t>
      </w:r>
      <w:r w:rsidR="00286173" w:rsidRPr="00510AD0">
        <w:fldChar w:fldCharType="end"/>
      </w:r>
      <w:r w:rsidRPr="00510AD0">
        <w:t xml:space="preserve"> within twelve (12) months after the invoice is rendered or any specific adjustment to the invoice is made.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 </w:t>
      </w:r>
    </w:p>
    <w:p w14:paraId="665BF6FB" w14:textId="3C2B74D1" w:rsidR="0055205C" w:rsidRPr="00510AD0" w:rsidRDefault="0055205C" w:rsidP="00E50639">
      <w:pPr>
        <w:pStyle w:val="Heading1"/>
      </w:pPr>
      <w:bookmarkStart w:id="329" w:name="_Toc70208398"/>
      <w:bookmarkStart w:id="330" w:name="_Toc81215048"/>
      <w:bookmarkStart w:id="331" w:name="_Toc78477821"/>
      <w:bookmarkStart w:id="332" w:name="_Toc99035859"/>
      <w:r w:rsidRPr="00510AD0">
        <w:br/>
      </w:r>
      <w:bookmarkStart w:id="333" w:name="_Ref69141658"/>
      <w:r w:rsidRPr="00510AD0">
        <w:t>CREDIT AND COLLATERAL REQUIREMENTS</w:t>
      </w:r>
      <w:bookmarkEnd w:id="329"/>
      <w:bookmarkEnd w:id="330"/>
      <w:bookmarkEnd w:id="331"/>
      <w:bookmarkEnd w:id="332"/>
      <w:bookmarkEnd w:id="333"/>
      <w:r w:rsidR="00BF3FF6" w:rsidRPr="00510AD0">
        <w:rPr>
          <w:rStyle w:val="FootnoteReference"/>
        </w:rPr>
        <w:footnoteReference w:id="25"/>
      </w:r>
    </w:p>
    <w:p w14:paraId="711EDA31" w14:textId="77777777" w:rsidR="0055205C" w:rsidRPr="00510AD0" w:rsidRDefault="0055205C" w:rsidP="0017021E">
      <w:pPr>
        <w:pStyle w:val="Heading2"/>
        <w:rPr>
          <w:vanish/>
          <w:specVanish/>
        </w:rPr>
      </w:pPr>
      <w:bookmarkStart w:id="334" w:name="_Ref69141659"/>
      <w:bookmarkStart w:id="335" w:name="_Toc70208399"/>
      <w:bookmarkStart w:id="336" w:name="_Toc81215049"/>
      <w:bookmarkStart w:id="337" w:name="_Toc78477822"/>
      <w:bookmarkStart w:id="338" w:name="_Toc99035860"/>
      <w:r w:rsidRPr="00510AD0">
        <w:t>Buyer Financial Information</w:t>
      </w:r>
      <w:bookmarkEnd w:id="334"/>
      <w:bookmarkEnd w:id="335"/>
      <w:bookmarkEnd w:id="336"/>
      <w:bookmarkEnd w:id="337"/>
      <w:bookmarkEnd w:id="338"/>
    </w:p>
    <w:p w14:paraId="47A56FEE" w14:textId="77777777" w:rsidR="0055205C" w:rsidRPr="00510AD0" w:rsidRDefault="0055205C" w:rsidP="00727F6E">
      <w:pPr>
        <w:pStyle w:val="Heading2Continued"/>
      </w:pPr>
      <w:r w:rsidRPr="00510AD0">
        <w:t xml:space="preserve">.  If requested by Seller, Buyer shall deliver to Seller </w:t>
      </w:r>
      <w:bookmarkStart w:id="339" w:name="DocXTextRef81"/>
      <w:r w:rsidRPr="00510AD0">
        <w:t>(a)</w:t>
      </w:r>
      <w:bookmarkEnd w:id="339"/>
      <w:r w:rsidRPr="00510AD0">
        <w:t xml:space="preserve"> within one hundred twenty (120) days after the end of each fiscal year with respect to Buyer, a copy of Buyer’s annual report containing audited consolidated financial statements for such fiscal year, if available, and </w:t>
      </w:r>
      <w:bookmarkStart w:id="340" w:name="DocXTextRef82"/>
      <w:r w:rsidRPr="00510AD0">
        <w:t>(b)</w:t>
      </w:r>
      <w:bookmarkEnd w:id="340"/>
      <w:r w:rsidRPr="00510AD0">
        <w:t xml:space="preserve"> within sixty (60)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w:t>
      </w:r>
      <w:r w:rsidRPr="00510AD0">
        <w:lastRenderedPageBreak/>
        <w:t>be available on a timely basis due to a delay in preparation or certification, such delay shall not be an Event of Default, so long as such statements are provided to Seller upon their completion and filing with the SEC.</w:t>
      </w:r>
    </w:p>
    <w:p w14:paraId="30C3C71E" w14:textId="77777777" w:rsidR="0055205C" w:rsidRPr="00510AD0" w:rsidRDefault="0055205C" w:rsidP="0017021E">
      <w:pPr>
        <w:pStyle w:val="Heading2"/>
        <w:rPr>
          <w:vanish/>
          <w:specVanish/>
        </w:rPr>
      </w:pPr>
      <w:bookmarkStart w:id="341" w:name="_Ref69141660"/>
      <w:bookmarkStart w:id="342" w:name="_Toc70208400"/>
      <w:bookmarkStart w:id="343" w:name="_Toc81215050"/>
      <w:bookmarkStart w:id="344" w:name="_Toc78477823"/>
      <w:bookmarkStart w:id="345" w:name="_Toc99035861"/>
      <w:r w:rsidRPr="00510AD0">
        <w:t>Seller Financial Information</w:t>
      </w:r>
      <w:bookmarkEnd w:id="341"/>
      <w:bookmarkEnd w:id="342"/>
      <w:bookmarkEnd w:id="343"/>
      <w:bookmarkEnd w:id="344"/>
      <w:bookmarkEnd w:id="345"/>
    </w:p>
    <w:p w14:paraId="61BA9294" w14:textId="5225468F" w:rsidR="0055205C" w:rsidRPr="00510AD0" w:rsidRDefault="0055205C" w:rsidP="00727F6E">
      <w:pPr>
        <w:pStyle w:val="Heading2Continued"/>
      </w:pPr>
      <w:r w:rsidRPr="00510AD0">
        <w:t xml:space="preserve">.  If requested by Buyer, Seller (or its Guarantor) shall deliver to Buyer </w:t>
      </w:r>
      <w:bookmarkStart w:id="346" w:name="DocXTextRef83"/>
      <w:r w:rsidRPr="00510AD0">
        <w:t>(a)</w:t>
      </w:r>
      <w:bookmarkEnd w:id="346"/>
      <w:r w:rsidRPr="00510AD0">
        <w:t xml:space="preserve"> within one hundred twenty (120) days following the end of each fiscal year, a copy of Seller’s or Seller’s Guarantor’s annual report containing audited consolidated financial statements for such fiscal year, if available, (or unaudited consolidated financial statements for such fiscal year if otherwise available) and </w:t>
      </w:r>
      <w:bookmarkStart w:id="347" w:name="DocXTextRef84"/>
      <w:r w:rsidRPr="00510AD0">
        <w:t>(b)</w:t>
      </w:r>
      <w:bookmarkEnd w:id="347"/>
      <w:r w:rsidRPr="00510AD0">
        <w:t xml:space="preserve"> 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14:paraId="4D9618F2" w14:textId="77777777" w:rsidR="0055205C" w:rsidRPr="00510AD0" w:rsidRDefault="0055205C" w:rsidP="0017021E">
      <w:pPr>
        <w:pStyle w:val="Heading2"/>
        <w:rPr>
          <w:vanish/>
          <w:specVanish/>
        </w:rPr>
      </w:pPr>
      <w:bookmarkStart w:id="348" w:name="_Ref69141661"/>
      <w:bookmarkStart w:id="349" w:name="_Toc70208401"/>
      <w:bookmarkStart w:id="350" w:name="_Toc81215051"/>
      <w:bookmarkStart w:id="351" w:name="_Toc78477824"/>
      <w:bookmarkStart w:id="352" w:name="_Toc99035862"/>
      <w:r w:rsidRPr="00510AD0">
        <w:t>Grant of Security Interest/Remedies</w:t>
      </w:r>
      <w:bookmarkEnd w:id="348"/>
      <w:bookmarkEnd w:id="349"/>
      <w:bookmarkEnd w:id="350"/>
      <w:bookmarkEnd w:id="351"/>
      <w:bookmarkEnd w:id="352"/>
    </w:p>
    <w:p w14:paraId="1247EC4F" w14:textId="2BCE331F" w:rsidR="0055205C" w:rsidRPr="00510AD0" w:rsidRDefault="0055205C" w:rsidP="00727F6E">
      <w:pPr>
        <w:pStyle w:val="Heading2Continued"/>
      </w:pPr>
      <w:r w:rsidRPr="00510AD0">
        <w:t>.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w:t>
      </w:r>
      <w:r w:rsidR="003719AE" w:rsidRPr="00510AD0">
        <w:t xml:space="preserve"> Default</w:t>
      </w:r>
      <w:r w:rsidRPr="00510AD0">
        <w:t xml:space="preserve"> </w:t>
      </w:r>
      <w:r w:rsidR="008C5C74" w:rsidRPr="00510AD0">
        <w:t xml:space="preserve">or an </w:t>
      </w:r>
      <w:r w:rsidRPr="00510AD0">
        <w:t xml:space="preserve">Early Termination Date, Buyer, as the Non-Defaulting Party, may do any one or more of the following:  </w:t>
      </w:r>
      <w:bookmarkStart w:id="353" w:name="DocXTextRef85"/>
      <w:r w:rsidRPr="00510AD0">
        <w:t>(a)</w:t>
      </w:r>
      <w:bookmarkEnd w:id="353"/>
      <w:r w:rsidRPr="00510AD0">
        <w:t xml:space="preserve"> exercise any of the rights and remedies of a secured party with respect to all Performance Assurance, including any such rights and remedies under the Law then in effect; </w:t>
      </w:r>
      <w:bookmarkStart w:id="354" w:name="DocXTextRef86"/>
      <w:r w:rsidRPr="00510AD0">
        <w:t>(b)</w:t>
      </w:r>
      <w:bookmarkEnd w:id="354"/>
      <w:r w:rsidRPr="00510AD0">
        <w:t xml:space="preserve"> exercise its rights of setoff against any property of Seller, as the Defaulting Party, in the possession of the Buyer or Buyer’s agent; </w:t>
      </w:r>
      <w:bookmarkStart w:id="355" w:name="DocXTextRef87"/>
      <w:r w:rsidRPr="00510AD0">
        <w:t>(c)</w:t>
      </w:r>
      <w:bookmarkEnd w:id="355"/>
      <w:r w:rsidRPr="00510AD0">
        <w:t xml:space="preserve"> draw on any outstanding Letter of Credit issued for its benefit; and </w:t>
      </w:r>
      <w:bookmarkStart w:id="356" w:name="DocXTextRef88"/>
      <w:r w:rsidRPr="00510AD0">
        <w:t>(d)</w:t>
      </w:r>
      <w:bookmarkEnd w:id="356"/>
      <w:r w:rsidRPr="00510AD0">
        <w:t xml:space="preserve">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14:paraId="6C4157DB" w14:textId="77777777" w:rsidR="0055205C" w:rsidRPr="00510AD0" w:rsidRDefault="0055205C" w:rsidP="0017021E">
      <w:pPr>
        <w:pStyle w:val="Heading2"/>
      </w:pPr>
      <w:bookmarkStart w:id="357" w:name="_Ref69141662"/>
      <w:bookmarkStart w:id="358" w:name="_Toc70208402"/>
      <w:bookmarkStart w:id="359" w:name="_Toc81215052"/>
      <w:bookmarkStart w:id="360" w:name="_Toc78477825"/>
      <w:bookmarkStart w:id="361" w:name="_Toc99035863"/>
      <w:r w:rsidRPr="00510AD0">
        <w:t>Performance Assurance.</w:t>
      </w:r>
      <w:bookmarkEnd w:id="357"/>
      <w:bookmarkEnd w:id="358"/>
      <w:bookmarkEnd w:id="359"/>
      <w:bookmarkEnd w:id="360"/>
      <w:bookmarkEnd w:id="361"/>
    </w:p>
    <w:p w14:paraId="2778718D" w14:textId="082EF487" w:rsidR="00801B4A" w:rsidRPr="00510AD0" w:rsidRDefault="00801B4A" w:rsidP="00801B4A">
      <w:pPr>
        <w:pStyle w:val="Heading3"/>
      </w:pPr>
      <w:bookmarkStart w:id="362" w:name="_Ref69141663"/>
      <w:r w:rsidRPr="00510AD0">
        <w:rPr>
          <w:u w:val="single"/>
        </w:rPr>
        <w:t>Seller’s Collateral Threshold</w:t>
      </w:r>
      <w:r w:rsidR="00B10F24" w:rsidRPr="00510AD0">
        <w:rPr>
          <w:rStyle w:val="FootnoteReference"/>
          <w:u w:val="single"/>
        </w:rPr>
        <w:footnoteReference w:id="26"/>
      </w:r>
      <w:r w:rsidRPr="00510AD0">
        <w:t>.  “Seller’s Collateral Threshold” shall mean the lower of the following: the Threshold Amount as defined below; or zero if either (1) on the relevant date of determination [</w:t>
      </w:r>
      <w:r w:rsidRPr="00510AD0">
        <w:rPr>
          <w:b/>
          <w:bCs/>
          <w:i/>
          <w:iCs/>
        </w:rPr>
        <w:t>select</w:t>
      </w:r>
      <w:r w:rsidRPr="00510AD0">
        <w:t xml:space="preserve"> Seller or Guarantor] does not have a Credit Rating from the </w:t>
      </w:r>
      <w:r w:rsidRPr="00510AD0">
        <w:lastRenderedPageBreak/>
        <w:t>rating agency(ies) specified below, or (2) an Event of Default with respect to Seller [</w:t>
      </w:r>
      <w:r w:rsidRPr="00510AD0">
        <w:rPr>
          <w:b/>
          <w:bCs/>
          <w:i/>
          <w:iCs/>
        </w:rPr>
        <w:t>where there is a Guaranty select</w:t>
      </w:r>
      <w:r w:rsidRPr="00510AD0">
        <w:t xml:space="preserve"> or Guarantor] has occurred and is continuing.</w:t>
      </w:r>
    </w:p>
    <w:p w14:paraId="5F2D1D95" w14:textId="3718584B" w:rsidR="00801B4A" w:rsidRPr="00510AD0" w:rsidRDefault="00801B4A" w:rsidP="00801B4A">
      <w:pPr>
        <w:pStyle w:val="BodyText"/>
      </w:pPr>
      <w:r w:rsidRPr="00510AD0">
        <w:t>The “Threshold Amount” shall mean (i) that amount set forth below under the heading “Seller's Collateral Threshold” opposite the Credit Rating for [</w:t>
      </w:r>
      <w:r w:rsidRPr="00510AD0">
        <w:rPr>
          <w:b/>
          <w:bCs/>
          <w:i/>
          <w:iCs/>
        </w:rPr>
        <w:t>select</w:t>
      </w:r>
      <w:r w:rsidRPr="00510AD0">
        <w:t xml:space="preserve"> Seller’s or Guarantor’s] relevant date of determination, and if [</w:t>
      </w:r>
      <w:r w:rsidRPr="00510AD0">
        <w:rPr>
          <w:b/>
          <w:bCs/>
          <w:i/>
          <w:iCs/>
        </w:rPr>
        <w:t>select</w:t>
      </w:r>
      <w:r w:rsidRPr="00510AD0">
        <w:t xml:space="preserve"> Seller’s or Guarantor’s] Credit Ratings shall not be equivalent, the lower Credit Rating shall govern; provided that, (ii) if Seller has provided a Guaranty and the amount of that Guaranty is lower than the amount specified in subsection (i) herein, then the amount of the Guaranty shall govern and shall constitute the Threshold Amount.</w:t>
      </w:r>
    </w:p>
    <w:tbl>
      <w:tblPr>
        <w:tblStyle w:val="TableGrid"/>
        <w:tblW w:w="8010" w:type="dxa"/>
        <w:tblInd w:w="1365" w:type="dxa"/>
        <w:tblLayout w:type="fixed"/>
        <w:tblLook w:val="06A0" w:firstRow="1" w:lastRow="0" w:firstColumn="1" w:lastColumn="0" w:noHBand="1" w:noVBand="1"/>
      </w:tblPr>
      <w:tblGrid>
        <w:gridCol w:w="2670"/>
        <w:gridCol w:w="2670"/>
        <w:gridCol w:w="2670"/>
      </w:tblGrid>
      <w:tr w:rsidR="00801B4A" w:rsidRPr="00510AD0" w14:paraId="5FCB8CF3" w14:textId="77777777" w:rsidTr="008662D3">
        <w:tc>
          <w:tcPr>
            <w:tcW w:w="2670" w:type="dxa"/>
            <w:tcBorders>
              <w:top w:val="nil"/>
              <w:left w:val="nil"/>
              <w:bottom w:val="nil"/>
              <w:right w:val="nil"/>
            </w:tcBorders>
          </w:tcPr>
          <w:p w14:paraId="144B96E4" w14:textId="77777777" w:rsidR="00801B4A" w:rsidRPr="00510AD0" w:rsidRDefault="00801B4A" w:rsidP="00BF2589">
            <w:pPr>
              <w:spacing w:before="240"/>
              <w:rPr>
                <w:rFonts w:ascii="Times New Roman" w:hAnsi="Times New Roman" w:cs="Times New Roman"/>
                <w:sz w:val="20"/>
                <w:szCs w:val="20"/>
                <w:u w:val="single"/>
              </w:rPr>
            </w:pPr>
            <w:r w:rsidRPr="00510AD0">
              <w:rPr>
                <w:rFonts w:ascii="Times New Roman" w:hAnsi="Times New Roman" w:cs="Times New Roman"/>
                <w:b/>
                <w:sz w:val="20"/>
                <w:szCs w:val="20"/>
                <w:u w:val="single"/>
              </w:rPr>
              <w:t xml:space="preserve">Seller’s </w:t>
            </w:r>
            <w:r w:rsidRPr="00510AD0">
              <w:rPr>
                <w:rFonts w:ascii="Times New Roman" w:hAnsi="Times New Roman" w:cs="Times New Roman"/>
                <w:b/>
                <w:bCs/>
                <w:sz w:val="20"/>
                <w:szCs w:val="20"/>
                <w:u w:val="single"/>
              </w:rPr>
              <w:t>Collateral Threshold</w:t>
            </w:r>
          </w:p>
        </w:tc>
        <w:tc>
          <w:tcPr>
            <w:tcW w:w="2670" w:type="dxa"/>
            <w:tcBorders>
              <w:top w:val="nil"/>
              <w:left w:val="nil"/>
              <w:bottom w:val="nil"/>
              <w:right w:val="nil"/>
            </w:tcBorders>
          </w:tcPr>
          <w:p w14:paraId="32E86812" w14:textId="77777777" w:rsidR="00801B4A" w:rsidRPr="00510AD0" w:rsidRDefault="00801B4A" w:rsidP="00BF2589">
            <w:pPr>
              <w:spacing w:before="240"/>
              <w:rPr>
                <w:rFonts w:ascii="Times New Roman" w:hAnsi="Times New Roman" w:cs="Times New Roman"/>
                <w:sz w:val="20"/>
                <w:szCs w:val="20"/>
              </w:rPr>
            </w:pPr>
            <w:r w:rsidRPr="00510AD0">
              <w:rPr>
                <w:rFonts w:ascii="Times New Roman" w:hAnsi="Times New Roman" w:cs="Times New Roman"/>
                <w:b/>
                <w:bCs/>
                <w:sz w:val="20"/>
                <w:szCs w:val="20"/>
                <w:u w:val="single"/>
              </w:rPr>
              <w:t>S&amp;P Credit Rating</w:t>
            </w:r>
          </w:p>
        </w:tc>
        <w:tc>
          <w:tcPr>
            <w:tcW w:w="2670" w:type="dxa"/>
            <w:tcBorders>
              <w:top w:val="nil"/>
              <w:left w:val="nil"/>
              <w:bottom w:val="nil"/>
              <w:right w:val="nil"/>
            </w:tcBorders>
          </w:tcPr>
          <w:p w14:paraId="18ED39B5" w14:textId="77777777" w:rsidR="00801B4A" w:rsidRPr="00510AD0" w:rsidRDefault="00801B4A" w:rsidP="00BF2589">
            <w:pPr>
              <w:spacing w:before="240"/>
              <w:rPr>
                <w:rFonts w:ascii="Times New Roman" w:hAnsi="Times New Roman" w:cs="Times New Roman"/>
                <w:sz w:val="20"/>
                <w:szCs w:val="20"/>
              </w:rPr>
            </w:pPr>
            <w:r w:rsidRPr="00510AD0">
              <w:rPr>
                <w:rFonts w:ascii="Times New Roman" w:hAnsi="Times New Roman" w:cs="Times New Roman"/>
                <w:b/>
                <w:bCs/>
                <w:sz w:val="20"/>
                <w:szCs w:val="20"/>
                <w:u w:val="single"/>
              </w:rPr>
              <w:t>Moody’s Credit Rating</w:t>
            </w:r>
          </w:p>
        </w:tc>
      </w:tr>
      <w:tr w:rsidR="00801B4A" w:rsidRPr="00510AD0" w14:paraId="07C3441E" w14:textId="77777777" w:rsidTr="008662D3">
        <w:tc>
          <w:tcPr>
            <w:tcW w:w="2670" w:type="dxa"/>
            <w:tcBorders>
              <w:top w:val="nil"/>
              <w:left w:val="nil"/>
              <w:bottom w:val="nil"/>
              <w:right w:val="nil"/>
            </w:tcBorders>
          </w:tcPr>
          <w:p w14:paraId="1EEB28F6" w14:textId="726AEE48" w:rsidR="00801B4A" w:rsidRPr="00510AD0" w:rsidRDefault="00801B4A" w:rsidP="00BF2589">
            <w:pPr>
              <w:spacing w:before="240"/>
              <w:rPr>
                <w:rFonts w:ascii="Times New Roman" w:hAnsi="Times New Roman" w:cs="Times New Roman"/>
                <w:sz w:val="20"/>
                <w:szCs w:val="20"/>
              </w:rPr>
            </w:pPr>
            <w:r w:rsidRPr="00510AD0">
              <w:rPr>
                <w:rFonts w:ascii="Times New Roman" w:hAnsi="Times New Roman" w:cs="Times New Roman"/>
                <w:sz w:val="20"/>
                <w:szCs w:val="20"/>
              </w:rPr>
              <w:t>$</w:t>
            </w:r>
            <w:r w:rsidR="0032143A" w:rsidRPr="00510AD0">
              <w:rPr>
                <w:rFonts w:ascii="Times New Roman" w:hAnsi="Times New Roman" w:cs="Times New Roman"/>
                <w:sz w:val="20"/>
                <w:szCs w:val="20"/>
              </w:rPr>
              <w:t>0</w:t>
            </w:r>
          </w:p>
        </w:tc>
        <w:tc>
          <w:tcPr>
            <w:tcW w:w="2670" w:type="dxa"/>
            <w:tcBorders>
              <w:top w:val="nil"/>
              <w:left w:val="nil"/>
              <w:bottom w:val="nil"/>
              <w:right w:val="nil"/>
            </w:tcBorders>
          </w:tcPr>
          <w:p w14:paraId="3E8F214F" w14:textId="53B76EDB" w:rsidR="00801B4A" w:rsidRPr="00510AD0" w:rsidRDefault="009E2B7E" w:rsidP="00BF2589">
            <w:pPr>
              <w:spacing w:before="240"/>
              <w:rPr>
                <w:rFonts w:ascii="Times New Roman" w:hAnsi="Times New Roman" w:cs="Times New Roman"/>
                <w:sz w:val="20"/>
                <w:szCs w:val="20"/>
              </w:rPr>
            </w:pPr>
            <w:r w:rsidRPr="00510AD0">
              <w:rPr>
                <w:rFonts w:ascii="Times New Roman" w:hAnsi="Times New Roman" w:cs="Times New Roman"/>
                <w:sz w:val="20"/>
                <w:szCs w:val="20"/>
              </w:rPr>
              <w:t xml:space="preserve">BBB- </w:t>
            </w:r>
            <w:r w:rsidR="00801B4A" w:rsidRPr="00510AD0">
              <w:rPr>
                <w:rFonts w:ascii="Times New Roman" w:hAnsi="Times New Roman" w:cs="Times New Roman"/>
                <w:sz w:val="20"/>
                <w:szCs w:val="20"/>
              </w:rPr>
              <w:t>or above</w:t>
            </w:r>
          </w:p>
        </w:tc>
        <w:tc>
          <w:tcPr>
            <w:tcW w:w="2670" w:type="dxa"/>
            <w:tcBorders>
              <w:top w:val="nil"/>
              <w:left w:val="nil"/>
              <w:bottom w:val="nil"/>
              <w:right w:val="nil"/>
            </w:tcBorders>
          </w:tcPr>
          <w:p w14:paraId="13FDB988" w14:textId="3F24B0AF" w:rsidR="00801B4A" w:rsidRPr="00510AD0" w:rsidRDefault="009E2B7E" w:rsidP="00BF2589">
            <w:pPr>
              <w:spacing w:before="240"/>
              <w:rPr>
                <w:rFonts w:ascii="Times New Roman" w:hAnsi="Times New Roman" w:cs="Times New Roman"/>
                <w:sz w:val="20"/>
                <w:szCs w:val="20"/>
              </w:rPr>
            </w:pPr>
            <w:r w:rsidRPr="00510AD0">
              <w:rPr>
                <w:rFonts w:ascii="Times New Roman" w:hAnsi="Times New Roman" w:cs="Times New Roman"/>
                <w:sz w:val="20"/>
                <w:szCs w:val="20"/>
              </w:rPr>
              <w:t>Baa3</w:t>
            </w:r>
            <w:r w:rsidR="00801B4A" w:rsidRPr="00510AD0">
              <w:rPr>
                <w:rFonts w:ascii="Times New Roman" w:hAnsi="Times New Roman" w:cs="Times New Roman"/>
                <w:sz w:val="20"/>
                <w:szCs w:val="20"/>
              </w:rPr>
              <w:t xml:space="preserve"> or above</w:t>
            </w:r>
          </w:p>
        </w:tc>
      </w:tr>
      <w:tr w:rsidR="00801B4A" w:rsidRPr="00510AD0" w14:paraId="5674A47E" w14:textId="77777777" w:rsidTr="008662D3">
        <w:tc>
          <w:tcPr>
            <w:tcW w:w="2670" w:type="dxa"/>
            <w:tcBorders>
              <w:top w:val="nil"/>
              <w:left w:val="nil"/>
              <w:bottom w:val="nil"/>
              <w:right w:val="nil"/>
            </w:tcBorders>
          </w:tcPr>
          <w:p w14:paraId="4A46134E" w14:textId="77777777" w:rsidR="00801B4A" w:rsidRPr="00510AD0" w:rsidRDefault="00801B4A" w:rsidP="00BF2589">
            <w:pPr>
              <w:spacing w:before="240"/>
              <w:rPr>
                <w:rFonts w:ascii="Times New Roman" w:hAnsi="Times New Roman" w:cs="Times New Roman"/>
                <w:sz w:val="20"/>
                <w:szCs w:val="20"/>
              </w:rPr>
            </w:pPr>
            <w:r w:rsidRPr="00510AD0">
              <w:rPr>
                <w:rFonts w:ascii="Times New Roman" w:hAnsi="Times New Roman" w:cs="Times New Roman"/>
                <w:sz w:val="20"/>
                <w:szCs w:val="20"/>
              </w:rPr>
              <w:t>$0</w:t>
            </w:r>
          </w:p>
        </w:tc>
        <w:tc>
          <w:tcPr>
            <w:tcW w:w="2670" w:type="dxa"/>
            <w:tcBorders>
              <w:top w:val="nil"/>
              <w:left w:val="nil"/>
              <w:bottom w:val="nil"/>
              <w:right w:val="nil"/>
            </w:tcBorders>
          </w:tcPr>
          <w:p w14:paraId="7D5F7D4F" w14:textId="77777777" w:rsidR="00801B4A" w:rsidRPr="00510AD0" w:rsidRDefault="00801B4A" w:rsidP="00BF2589">
            <w:pPr>
              <w:spacing w:before="240"/>
              <w:rPr>
                <w:rFonts w:ascii="Times New Roman" w:hAnsi="Times New Roman" w:cs="Times New Roman"/>
                <w:sz w:val="20"/>
                <w:szCs w:val="20"/>
              </w:rPr>
            </w:pPr>
            <w:r w:rsidRPr="00510AD0">
              <w:rPr>
                <w:rFonts w:ascii="Times New Roman" w:hAnsi="Times New Roman" w:cs="Times New Roman"/>
                <w:sz w:val="20"/>
                <w:szCs w:val="20"/>
              </w:rPr>
              <w:t>Below BBB-</w:t>
            </w:r>
          </w:p>
        </w:tc>
        <w:tc>
          <w:tcPr>
            <w:tcW w:w="2670" w:type="dxa"/>
            <w:tcBorders>
              <w:top w:val="nil"/>
              <w:left w:val="nil"/>
              <w:bottom w:val="nil"/>
              <w:right w:val="nil"/>
            </w:tcBorders>
          </w:tcPr>
          <w:p w14:paraId="53574811" w14:textId="77777777" w:rsidR="00801B4A" w:rsidRPr="00510AD0" w:rsidRDefault="00801B4A" w:rsidP="00BF2589">
            <w:pPr>
              <w:spacing w:before="240"/>
              <w:rPr>
                <w:rFonts w:ascii="Times New Roman" w:hAnsi="Times New Roman" w:cs="Times New Roman"/>
                <w:sz w:val="20"/>
                <w:szCs w:val="20"/>
              </w:rPr>
            </w:pPr>
            <w:r w:rsidRPr="00510AD0">
              <w:rPr>
                <w:rFonts w:ascii="Times New Roman" w:hAnsi="Times New Roman" w:cs="Times New Roman"/>
                <w:sz w:val="20"/>
                <w:szCs w:val="20"/>
              </w:rPr>
              <w:t>Below Baa3</w:t>
            </w:r>
          </w:p>
        </w:tc>
      </w:tr>
    </w:tbl>
    <w:p w14:paraId="6D9F4F64" w14:textId="77777777" w:rsidR="00801B4A" w:rsidRPr="00510AD0" w:rsidRDefault="00801B4A" w:rsidP="00801B4A">
      <w:pPr>
        <w:pStyle w:val="BodyText"/>
      </w:pPr>
    </w:p>
    <w:p w14:paraId="21D45F80" w14:textId="6B9AD5DB" w:rsidR="0055205C" w:rsidRPr="00510AD0" w:rsidRDefault="0055205C" w:rsidP="00D74823">
      <w:pPr>
        <w:pStyle w:val="Heading3"/>
      </w:pPr>
      <w:r w:rsidRPr="00510AD0">
        <w:rPr>
          <w:u w:val="single"/>
        </w:rPr>
        <w:t>Performance Assurance</w:t>
      </w:r>
      <w:bookmarkStart w:id="363" w:name="_Ref69141875"/>
      <w:r w:rsidRPr="00510AD0">
        <w:rPr>
          <w:rStyle w:val="FootnoteReference"/>
        </w:rPr>
        <w:footnoteReference w:id="27"/>
      </w:r>
      <w:bookmarkEnd w:id="363"/>
      <w:r w:rsidRPr="00510AD0">
        <w:t xml:space="preserve">.  Seller agrees to deliver to Buyer </w:t>
      </w:r>
      <w:r w:rsidR="008662D3" w:rsidRPr="00510AD0">
        <w:t xml:space="preserve">the </w:t>
      </w:r>
      <w:r w:rsidRPr="00510AD0">
        <w:t>Performance Assurance in a form acceptable to Buyer to secure its obligations under this Agreement</w:t>
      </w:r>
      <w:r w:rsidR="006849E9" w:rsidRPr="00510AD0">
        <w:t xml:space="preserve"> as required herein. </w:t>
      </w:r>
      <w:r w:rsidRPr="00510AD0">
        <w:t xml:space="preserve">Seller shall maintain </w:t>
      </w:r>
      <w:r w:rsidR="006849E9" w:rsidRPr="00510AD0">
        <w:t xml:space="preserve">the Performance Assurance </w:t>
      </w:r>
      <w:r w:rsidRPr="00510AD0">
        <w:t xml:space="preserve">in full force and effect for the </w:t>
      </w:r>
      <w:r w:rsidR="006849E9" w:rsidRPr="00510AD0">
        <w:t xml:space="preserve">required posting </w:t>
      </w:r>
      <w:r w:rsidRPr="00510AD0">
        <w:t>period with Buyer</w:t>
      </w:r>
      <w:bookmarkEnd w:id="362"/>
      <w:r w:rsidR="006849E9" w:rsidRPr="00510AD0">
        <w:t>.</w:t>
      </w:r>
    </w:p>
    <w:p w14:paraId="6B607D8D" w14:textId="118201A8" w:rsidR="0055205C" w:rsidRPr="00510AD0" w:rsidRDefault="0055205C" w:rsidP="00D74823">
      <w:pPr>
        <w:pStyle w:val="Heading4"/>
      </w:pPr>
      <w:bookmarkStart w:id="365" w:name="_Ref69141664"/>
      <w:r w:rsidRPr="00510AD0">
        <w:rPr>
          <w:u w:val="single"/>
        </w:rPr>
        <w:t>Project Development Security</w:t>
      </w:r>
      <w:r w:rsidRPr="00510AD0">
        <w:t xml:space="preserve">.  </w:t>
      </w:r>
      <w:r w:rsidR="006849E9" w:rsidRPr="00510AD0">
        <w:t xml:space="preserve">Seller shall deliver and maintain the Performance Assurance in the form of Project </w:t>
      </w:r>
      <w:r w:rsidRPr="00510AD0">
        <w:t>Development Security</w:t>
      </w:r>
      <w:r w:rsidR="006849E9" w:rsidRPr="00510AD0">
        <w:t xml:space="preserve"> (which shall be </w:t>
      </w:r>
      <w:r w:rsidRPr="00510AD0">
        <w:t>cash or Letter of Credit</w:t>
      </w:r>
      <w:r w:rsidR="006849E9" w:rsidRPr="00510AD0">
        <w:t xml:space="preserve">), </w:t>
      </w:r>
      <w:r w:rsidRPr="00510AD0">
        <w:t>as follows:</w:t>
      </w:r>
      <w:bookmarkEnd w:id="365"/>
    </w:p>
    <w:p w14:paraId="5BC90B17" w14:textId="7720B459" w:rsidR="00CF21F2" w:rsidRPr="00510AD0" w:rsidRDefault="0055205C" w:rsidP="00FF7ABE">
      <w:pPr>
        <w:pStyle w:val="Heading5"/>
      </w:pPr>
      <w:bookmarkStart w:id="366" w:name="_Ref69141665"/>
      <w:r w:rsidRPr="00510AD0">
        <w:t xml:space="preserve">Seller shall post </w:t>
      </w:r>
      <w:r w:rsidR="006849E9" w:rsidRPr="00510AD0">
        <w:t xml:space="preserve">the </w:t>
      </w:r>
      <w:r w:rsidRPr="00510AD0">
        <w:t xml:space="preserve">Project Development Security in the amount of _________________ dollars ($_______) </w:t>
      </w:r>
      <w:r w:rsidRPr="00510AD0">
        <w:rPr>
          <w:b/>
          <w:i/>
          <w:color w:val="0000FF"/>
        </w:rPr>
        <w:t>[insert dollar amount equal to $</w:t>
      </w:r>
      <w:r w:rsidR="00C90571" w:rsidRPr="00510AD0">
        <w:rPr>
          <w:b/>
          <w:i/>
          <w:color w:val="0000FF"/>
        </w:rPr>
        <w:t>80</w:t>
      </w:r>
      <w:r w:rsidRPr="00510AD0">
        <w:rPr>
          <w:b/>
          <w:i/>
          <w:color w:val="0000FF"/>
        </w:rPr>
        <w:t xml:space="preserve">/kW multiplied by the </w:t>
      </w:r>
      <w:r w:rsidR="0032143A" w:rsidRPr="00510AD0">
        <w:rPr>
          <w:b/>
          <w:i/>
          <w:color w:val="0000FF"/>
        </w:rPr>
        <w:t xml:space="preserve">maximum </w:t>
      </w:r>
      <w:r w:rsidRPr="00510AD0">
        <w:rPr>
          <w:b/>
          <w:i/>
          <w:color w:val="0000FF"/>
        </w:rPr>
        <w:t>Payment Quantity]</w:t>
      </w:r>
      <w:r w:rsidRPr="00510AD0">
        <w:t xml:space="preserve"> within five (5) Business Days following the Execution Date; and</w:t>
      </w:r>
      <w:bookmarkEnd w:id="366"/>
      <w:r w:rsidR="00BF3FF6" w:rsidRPr="00510AD0">
        <w:t xml:space="preserve"> </w:t>
      </w:r>
      <w:bookmarkStart w:id="367" w:name="_Ref69141666"/>
      <w:r w:rsidR="003F3877" w:rsidRPr="00510AD0">
        <w:t xml:space="preserve"> </w:t>
      </w:r>
    </w:p>
    <w:p w14:paraId="6391CC0F" w14:textId="2AC22934" w:rsidR="0055205C" w:rsidRPr="00510AD0" w:rsidRDefault="0055205C" w:rsidP="00D74823">
      <w:pPr>
        <w:pStyle w:val="Heading4"/>
      </w:pPr>
      <w:bookmarkStart w:id="368" w:name="_Ref69141667"/>
      <w:bookmarkEnd w:id="367"/>
      <w:r w:rsidRPr="00510AD0">
        <w:rPr>
          <w:u w:val="single"/>
        </w:rPr>
        <w:t>Delivery Term Security</w:t>
      </w:r>
      <w:r w:rsidRPr="00510AD0">
        <w:t xml:space="preserve">.  </w:t>
      </w:r>
      <w:r w:rsidR="006849E9" w:rsidRPr="00510AD0">
        <w:t xml:space="preserve">Prior to the Initial Delivery Date, Seller shall post and maintain Performance Assurance in an amount equal to Delivery Term Security </w:t>
      </w:r>
      <w:r w:rsidR="006849E9" w:rsidRPr="00510AD0">
        <w:rPr>
          <w:i/>
          <w:iCs/>
        </w:rPr>
        <w:t>minus</w:t>
      </w:r>
      <w:r w:rsidR="006849E9" w:rsidRPr="00510AD0">
        <w:t xml:space="preserve"> Seller’s Collateral Threshold, provided that, with Buyer’s consent, Seller may elect to apply the Project Development Security posted pursuant to Section </w:t>
      </w:r>
      <w:r w:rsidR="006849E9" w:rsidRPr="00510AD0">
        <w:fldChar w:fldCharType="begin"/>
      </w:r>
      <w:r w:rsidR="006849E9" w:rsidRPr="00510AD0">
        <w:instrText xml:space="preserve"> REF _Ref69141664 \w \h </w:instrText>
      </w:r>
      <w:r w:rsidR="00510AD0">
        <w:instrText xml:space="preserve"> \* MERGEFORMAT </w:instrText>
      </w:r>
      <w:r w:rsidR="006849E9" w:rsidRPr="00510AD0">
        <w:fldChar w:fldCharType="separate"/>
      </w:r>
      <w:r w:rsidR="007751F5" w:rsidRPr="00510AD0">
        <w:t>10.4(b)(i)</w:t>
      </w:r>
      <w:r w:rsidR="006849E9" w:rsidRPr="00510AD0">
        <w:fldChar w:fldCharType="end"/>
      </w:r>
      <w:r w:rsidR="006849E9" w:rsidRPr="00510AD0">
        <w:t xml:space="preserve"> toward the Performance Assurance required pursuant to this Section 10.4(b)(ii). The Delivery Term Security shall be in the amount equal to ___________________ dollars ($____________) </w:t>
      </w:r>
      <w:r w:rsidR="006849E9" w:rsidRPr="00510AD0">
        <w:rPr>
          <w:b/>
          <w:bCs/>
          <w:i/>
          <w:iCs/>
          <w:color w:val="0000FF"/>
        </w:rPr>
        <w:t xml:space="preserve">[insert dollar amount equal to the greater of $40/kW multiplied by the Payment Quantity or 10% of the sum of the highest estimated Monthly Payments </w:t>
      </w:r>
      <w:r w:rsidR="00CE3EF7" w:rsidRPr="00510AD0">
        <w:rPr>
          <w:b/>
          <w:bCs/>
          <w:i/>
          <w:iCs/>
          <w:color w:val="0000FF"/>
        </w:rPr>
        <w:t>[excluding Energy Settlement]</w:t>
      </w:r>
      <w:r w:rsidR="00790444" w:rsidRPr="00510AD0">
        <w:rPr>
          <w:rStyle w:val="FootnoteReference"/>
          <w:b/>
          <w:bCs/>
          <w:i/>
          <w:iCs/>
          <w:color w:val="0000FF"/>
        </w:rPr>
        <w:footnoteReference w:id="28"/>
      </w:r>
      <w:r w:rsidR="00CE3EF7" w:rsidRPr="00510AD0">
        <w:rPr>
          <w:b/>
          <w:bCs/>
          <w:i/>
          <w:iCs/>
          <w:color w:val="0000FF"/>
        </w:rPr>
        <w:t xml:space="preserve"> </w:t>
      </w:r>
      <w:r w:rsidR="006849E9" w:rsidRPr="00510AD0">
        <w:rPr>
          <w:b/>
          <w:bCs/>
          <w:i/>
          <w:iCs/>
          <w:color w:val="0000FF"/>
        </w:rPr>
        <w:t>for any 36 consecutive month period during the Delivery Term]</w:t>
      </w:r>
      <w:r w:rsidR="006849E9" w:rsidRPr="00510AD0">
        <w:t xml:space="preserve">.  If after Seller’s posting of Performance Assurance under this Section </w:t>
      </w:r>
      <w:r w:rsidR="006849E9" w:rsidRPr="00510AD0">
        <w:fldChar w:fldCharType="begin"/>
      </w:r>
      <w:r w:rsidR="006849E9" w:rsidRPr="00510AD0">
        <w:instrText xml:space="preserve"> REF _Ref69141667 \w \h </w:instrText>
      </w:r>
      <w:r w:rsidR="00510AD0">
        <w:instrText xml:space="preserve"> \* MERGEFORMAT </w:instrText>
      </w:r>
      <w:r w:rsidR="006849E9" w:rsidRPr="00510AD0">
        <w:fldChar w:fldCharType="separate"/>
      </w:r>
      <w:r w:rsidR="007751F5" w:rsidRPr="00510AD0">
        <w:t>10.4(b)(ii)</w:t>
      </w:r>
      <w:r w:rsidR="006849E9" w:rsidRPr="00510AD0">
        <w:fldChar w:fldCharType="end"/>
      </w:r>
      <w:r w:rsidR="006849E9" w:rsidRPr="00510AD0">
        <w:t xml:space="preserve"> Buyer determines that there has been a change to the Seller’s Collateral Threshold and such change results in an increase to the amount of </w:t>
      </w:r>
      <w:r w:rsidR="006849E9" w:rsidRPr="00510AD0">
        <w:lastRenderedPageBreak/>
        <w:t>Performance Assurance required under this Section 10.4(b)(ii), Buyer shall provide Notice to Seller of the amount of such increase and Seller shall deliver to Buyer additional Performance Assurance in that amount no later than five (5) Business Days after the date of Buyer’s Notice</w:t>
      </w:r>
      <w:r w:rsidRPr="00510AD0">
        <w:t>.</w:t>
      </w:r>
      <w:bookmarkEnd w:id="368"/>
    </w:p>
    <w:p w14:paraId="6B4E3656" w14:textId="77777777" w:rsidR="0055205C" w:rsidRPr="00510AD0" w:rsidRDefault="0055205C" w:rsidP="00D74823">
      <w:pPr>
        <w:pStyle w:val="Heading4"/>
      </w:pPr>
      <w:bookmarkStart w:id="369" w:name="_Ref69141668"/>
      <w:r w:rsidRPr="00510AD0">
        <w:t>Except with respect to the Damage Payment Amount, the amount of Performance Assurance required under this Agreement is not a limitation of damages.  For the avoidance of doubt, Buyer has no obligation to post collateral under this Agreement.</w:t>
      </w:r>
      <w:bookmarkEnd w:id="369"/>
    </w:p>
    <w:p w14:paraId="328767BF" w14:textId="06F3E492" w:rsidR="0055205C" w:rsidRPr="00510AD0" w:rsidRDefault="0055205C" w:rsidP="00D74823">
      <w:pPr>
        <w:pStyle w:val="Heading3"/>
      </w:pPr>
      <w:bookmarkStart w:id="370" w:name="_Ref69141669"/>
      <w:r w:rsidRPr="00510AD0">
        <w:rPr>
          <w:u w:val="single"/>
        </w:rPr>
        <w:t>Use of Project Development Security</w:t>
      </w:r>
      <w:r w:rsidRPr="00510AD0">
        <w:t xml:space="preserve">.  Buyer is entitled to draw upon the Project Development Security posted by Seller for Delay Damages in accordance with Section </w:t>
      </w:r>
      <w:r w:rsidR="00286173" w:rsidRPr="00510AD0">
        <w:fldChar w:fldCharType="begin"/>
      </w:r>
      <w:r w:rsidR="00286173" w:rsidRPr="00510AD0">
        <w:instrText xml:space="preserve">  REF _Ref69141567 \w \h \* MERGEFORMAT </w:instrText>
      </w:r>
      <w:r w:rsidR="00286173" w:rsidRPr="00510AD0">
        <w:fldChar w:fldCharType="separate"/>
      </w:r>
      <w:r w:rsidR="007751F5" w:rsidRPr="00510AD0">
        <w:t>2.4(a)</w:t>
      </w:r>
      <w:r w:rsidR="00286173" w:rsidRPr="00510AD0">
        <w:fldChar w:fldCharType="end"/>
      </w:r>
      <w:r w:rsidRPr="00510AD0">
        <w:t xml:space="preserve"> until such time as the Project Development Security is exhausted.  Buyer is also entitled to draw upon the Project Development Security for any damages arising upon Buyer’s declaration of an Early Termination Date in accordance with Section </w:t>
      </w:r>
      <w:r w:rsidR="00286173" w:rsidRPr="00510AD0">
        <w:fldChar w:fldCharType="begin"/>
      </w:r>
      <w:r w:rsidR="00286173" w:rsidRPr="00510AD0">
        <w:instrText xml:space="preserve">  REF _Ref69141634 \w \h \* MERGEFORMAT </w:instrText>
      </w:r>
      <w:r w:rsidR="00286173" w:rsidRPr="00510AD0">
        <w:fldChar w:fldCharType="separate"/>
      </w:r>
      <w:r w:rsidR="007751F5" w:rsidRPr="00510AD0">
        <w:t>7.2(b)</w:t>
      </w:r>
      <w:r w:rsidR="00286173" w:rsidRPr="00510AD0">
        <w:fldChar w:fldCharType="end"/>
      </w:r>
      <w:r w:rsidRPr="00510AD0">
        <w:t>.</w:t>
      </w:r>
      <w:bookmarkEnd w:id="370"/>
    </w:p>
    <w:p w14:paraId="0FA3D073" w14:textId="4BF94F17" w:rsidR="0055205C" w:rsidRPr="00510AD0" w:rsidRDefault="0055205C" w:rsidP="00D74823">
      <w:pPr>
        <w:pStyle w:val="Heading3"/>
      </w:pPr>
      <w:bookmarkStart w:id="371" w:name="_Ref69141670"/>
      <w:r w:rsidRPr="00510AD0">
        <w:rPr>
          <w:u w:val="single"/>
        </w:rPr>
        <w:t>Return of Project Development Security</w:t>
      </w:r>
      <w:r w:rsidRPr="00510AD0">
        <w:t xml:space="preserve">.  If, after the Initial Delivery Date, no damages are due and owing to Buyer under this Agreement, then Seller will no longer be required to maintain the Project Development Security, and Buyer shall return to Seller the Project Development Security, less any amounts drawn in accordance with Section </w:t>
      </w:r>
      <w:r w:rsidR="00286173" w:rsidRPr="00510AD0">
        <w:fldChar w:fldCharType="begin"/>
      </w:r>
      <w:r w:rsidR="00286173" w:rsidRPr="00510AD0">
        <w:instrText xml:space="preserve">  REF _Ref69141567 \w \h \* MERGEFORMAT </w:instrText>
      </w:r>
      <w:r w:rsidR="00286173" w:rsidRPr="00510AD0">
        <w:fldChar w:fldCharType="separate"/>
      </w:r>
      <w:r w:rsidR="007751F5" w:rsidRPr="00510AD0">
        <w:t>2.4(a)</w:t>
      </w:r>
      <w:r w:rsidR="00286173" w:rsidRPr="00510AD0">
        <w:fldChar w:fldCharType="end"/>
      </w:r>
      <w:r w:rsidRPr="00510AD0">
        <w:t xml:space="preserve">.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w:t>
      </w:r>
      <w:r w:rsidR="00286173" w:rsidRPr="00510AD0">
        <w:fldChar w:fldCharType="begin"/>
      </w:r>
      <w:r w:rsidR="00286173" w:rsidRPr="00510AD0">
        <w:instrText xml:space="preserve">  REF _Ref69141664 \w \h \* MERGEFORMAT </w:instrText>
      </w:r>
      <w:r w:rsidR="00286173" w:rsidRPr="00510AD0">
        <w:fldChar w:fldCharType="separate"/>
      </w:r>
      <w:r w:rsidR="007751F5" w:rsidRPr="00510AD0">
        <w:t>10.4(b)(i)</w:t>
      </w:r>
      <w:r w:rsidR="00286173" w:rsidRPr="00510AD0">
        <w:fldChar w:fldCharType="end"/>
      </w:r>
      <w:r w:rsidRPr="00510AD0">
        <w:t xml:space="preserve"> toward the Delivery Term Security posted pursuant to Section </w:t>
      </w:r>
      <w:r w:rsidR="00286173" w:rsidRPr="00510AD0">
        <w:fldChar w:fldCharType="begin"/>
      </w:r>
      <w:r w:rsidR="00286173" w:rsidRPr="00510AD0">
        <w:instrText xml:space="preserve">  REF _Ref69141667 \w \h \* MERGEFORMAT </w:instrText>
      </w:r>
      <w:r w:rsidR="00286173" w:rsidRPr="00510AD0">
        <w:fldChar w:fldCharType="separate"/>
      </w:r>
      <w:r w:rsidR="007751F5" w:rsidRPr="00510AD0">
        <w:t>10.4(b)(ii)</w:t>
      </w:r>
      <w:r w:rsidR="00286173" w:rsidRPr="00510AD0">
        <w:fldChar w:fldCharType="end"/>
      </w:r>
      <w:r w:rsidRPr="00510AD0">
        <w:t>.</w:t>
      </w:r>
      <w:bookmarkEnd w:id="371"/>
      <w:r w:rsidRPr="00510AD0">
        <w:t xml:space="preserve"> </w:t>
      </w:r>
    </w:p>
    <w:p w14:paraId="1A8078E3" w14:textId="38E18FD8" w:rsidR="0055205C" w:rsidRPr="00510AD0" w:rsidRDefault="0055205C" w:rsidP="00D74823">
      <w:pPr>
        <w:pStyle w:val="Heading3"/>
      </w:pPr>
      <w:bookmarkStart w:id="372" w:name="_Ref69141671"/>
      <w:r w:rsidRPr="00510AD0">
        <w:rPr>
          <w:u w:val="single"/>
        </w:rPr>
        <w:t>Payment and Transfer of Interest</w:t>
      </w:r>
      <w:r w:rsidRPr="00510AD0">
        <w:t>.  Buyer shall pay interest on cash held as Performance Assurance, at the Interest Rate and on the Interest Payment Date.  Buyer will transfer to Seller all accrued Interest Amount on the unused cash Performance Assurance.</w:t>
      </w:r>
      <w:bookmarkEnd w:id="372"/>
    </w:p>
    <w:p w14:paraId="4DAA5D47" w14:textId="75B36EAD" w:rsidR="0055205C" w:rsidRPr="00510AD0" w:rsidRDefault="0055205C" w:rsidP="00D74823">
      <w:pPr>
        <w:pStyle w:val="Heading3"/>
      </w:pPr>
      <w:bookmarkStart w:id="373" w:name="_Ref69141672"/>
      <w:r w:rsidRPr="00510AD0">
        <w:rPr>
          <w:u w:val="single"/>
        </w:rPr>
        <w:t xml:space="preserve">Return of </w:t>
      </w:r>
      <w:r w:rsidR="00AB12A0" w:rsidRPr="00510AD0">
        <w:rPr>
          <w:u w:val="single"/>
        </w:rPr>
        <w:t>Performance Assurance</w:t>
      </w:r>
      <w:r w:rsidRPr="00510AD0">
        <w:t xml:space="preserve">.  Buyer shall return the unused portion of </w:t>
      </w:r>
      <w:r w:rsidR="00AB12A0" w:rsidRPr="00510AD0">
        <w:t>the Performance Assurance</w:t>
      </w:r>
      <w:r w:rsidRPr="00510AD0">
        <w:t>, including the payment of any Interest Amount due thereon pursuant to Section</w:t>
      </w:r>
      <w:r w:rsidR="00AB12A0" w:rsidRPr="00510AD0">
        <w:t xml:space="preserve"> </w:t>
      </w:r>
      <w:r w:rsidR="00AB12A0" w:rsidRPr="00510AD0">
        <w:fldChar w:fldCharType="begin"/>
      </w:r>
      <w:r w:rsidR="00AB12A0" w:rsidRPr="00510AD0">
        <w:instrText xml:space="preserve"> REF _Ref69141671 \w \h </w:instrText>
      </w:r>
      <w:r w:rsidR="00510AD0">
        <w:instrText xml:space="preserve"> \* MERGEFORMAT </w:instrText>
      </w:r>
      <w:r w:rsidR="00AB12A0" w:rsidRPr="00510AD0">
        <w:fldChar w:fldCharType="separate"/>
      </w:r>
      <w:r w:rsidR="007751F5" w:rsidRPr="00510AD0">
        <w:t>10.4(e)</w:t>
      </w:r>
      <w:r w:rsidR="00AB12A0" w:rsidRPr="00510AD0">
        <w:fldChar w:fldCharType="end"/>
      </w:r>
      <w:r w:rsidRPr="00510AD0">
        <w:t xml:space="preserve"> above, to Seller promptly after the following has occurred:  </w:t>
      </w:r>
      <w:bookmarkStart w:id="374" w:name="DocXTextRef100"/>
      <w:r w:rsidRPr="00510AD0">
        <w:t>(i)</w:t>
      </w:r>
      <w:bookmarkEnd w:id="374"/>
      <w:r w:rsidRPr="00510AD0">
        <w:t xml:space="preserve"> the Term has ended, or subject to Section </w:t>
      </w:r>
      <w:r w:rsidR="00286173" w:rsidRPr="00510AD0">
        <w:fldChar w:fldCharType="begin"/>
      </w:r>
      <w:r w:rsidR="00286173" w:rsidRPr="00510AD0">
        <w:instrText xml:space="preserve">  REF _Ref69141632 \w \h \* MERGEFORMAT </w:instrText>
      </w:r>
      <w:r w:rsidR="00286173" w:rsidRPr="00510AD0">
        <w:fldChar w:fldCharType="separate"/>
      </w:r>
      <w:r w:rsidR="007751F5" w:rsidRPr="00510AD0">
        <w:t>7.2</w:t>
      </w:r>
      <w:r w:rsidR="00286173" w:rsidRPr="00510AD0">
        <w:fldChar w:fldCharType="end"/>
      </w:r>
      <w:r w:rsidRPr="00510AD0">
        <w:t>, an Early Termination Date has occurred, as applicable; and (ii) all payment obligations of the Seller arising under this Agreement, including the Termination Payment, indemnification payments or other damages are paid in full.</w:t>
      </w:r>
      <w:bookmarkEnd w:id="373"/>
    </w:p>
    <w:p w14:paraId="1BC94B35" w14:textId="77777777" w:rsidR="0055205C" w:rsidRPr="00510AD0" w:rsidRDefault="0055205C" w:rsidP="0017021E">
      <w:pPr>
        <w:pStyle w:val="Heading2"/>
        <w:rPr>
          <w:vanish/>
          <w:specVanish/>
        </w:rPr>
      </w:pPr>
      <w:bookmarkStart w:id="375" w:name="_Ref69141673"/>
      <w:bookmarkStart w:id="376" w:name="_Toc70208403"/>
      <w:bookmarkStart w:id="377" w:name="_Toc81215053"/>
      <w:bookmarkStart w:id="378" w:name="_Toc78477826"/>
      <w:bookmarkStart w:id="379" w:name="_Toc99035864"/>
      <w:r w:rsidRPr="00510AD0">
        <w:t>Letter of Credit</w:t>
      </w:r>
      <w:bookmarkEnd w:id="375"/>
      <w:bookmarkEnd w:id="376"/>
      <w:bookmarkEnd w:id="377"/>
      <w:bookmarkEnd w:id="378"/>
      <w:bookmarkEnd w:id="379"/>
    </w:p>
    <w:p w14:paraId="1456DEA3" w14:textId="77777777" w:rsidR="0055205C" w:rsidRPr="00510AD0" w:rsidRDefault="0055205C" w:rsidP="00727F6E">
      <w:pPr>
        <w:pStyle w:val="Heading2Continued"/>
      </w:pPr>
      <w:r w:rsidRPr="00510AD0">
        <w:t xml:space="preserve">.  Performance Assurance provided in the form of a Letter of Credit (see </w:t>
      </w:r>
      <w:r w:rsidRPr="00510AD0">
        <w:rPr>
          <w:u w:val="single"/>
        </w:rPr>
        <w:t>Appendix VII-A</w:t>
      </w:r>
      <w:r w:rsidRPr="00510AD0">
        <w:t>) is subject to the following provisions:</w:t>
      </w:r>
    </w:p>
    <w:p w14:paraId="63A7D766" w14:textId="77777777" w:rsidR="0055205C" w:rsidRPr="00510AD0" w:rsidRDefault="0055205C" w:rsidP="00D74823">
      <w:pPr>
        <w:pStyle w:val="Heading3"/>
      </w:pPr>
      <w:bookmarkStart w:id="380" w:name="_Ref69141674"/>
      <w:r w:rsidRPr="00510AD0">
        <w:t>If Seller has provided a Letter of Credit pursuant to any of the applicable provisions in this Article Ten, then Seller shall renew or cause the renewal of each outstanding Letter of Credit on a timely basis in accordance with this Agreement.</w:t>
      </w:r>
      <w:bookmarkEnd w:id="380"/>
    </w:p>
    <w:p w14:paraId="38FF4922" w14:textId="2161A1F9" w:rsidR="0055205C" w:rsidRPr="00510AD0" w:rsidRDefault="0055205C" w:rsidP="00D74823">
      <w:pPr>
        <w:pStyle w:val="Heading3"/>
      </w:pPr>
      <w:bookmarkStart w:id="381" w:name="_Ref69141675"/>
      <w:r w:rsidRPr="00510AD0">
        <w:t xml:space="preserve">In the event the issuer of such Letter of Credit at any time </w:t>
      </w:r>
      <w:bookmarkStart w:id="382" w:name="DocXTextRef102"/>
      <w:r w:rsidRPr="00510AD0">
        <w:t>(i)</w:t>
      </w:r>
      <w:bookmarkEnd w:id="382"/>
      <w:r w:rsidRPr="00510AD0">
        <w:t xml:space="preserve"> fails to maintain the requirements of an Eligible LC Bank</w:t>
      </w:r>
      <w:r w:rsidR="005B5374" w:rsidRPr="00510AD0">
        <w:t xml:space="preserve"> or Letter of Credit</w:t>
      </w:r>
      <w:r w:rsidRPr="00510AD0">
        <w:t xml:space="preserve">, (ii) indicates its intent not to renew such Letter of Credit, or (iii) fails to honor Buyer’s properly documented request to draw on such Letter of Credit, Seller shall cure such occurrence by complying with either subsection 10.5(b)(A) or </w:t>
      </w:r>
      <w:r w:rsidR="00286173" w:rsidRPr="00510AD0">
        <w:fldChar w:fldCharType="begin"/>
      </w:r>
      <w:r w:rsidR="00286173" w:rsidRPr="00510AD0">
        <w:instrText xml:space="preserve">  REF _Ref69141677 \w \h \* MERGEFORMAT </w:instrText>
      </w:r>
      <w:r w:rsidR="00286173" w:rsidRPr="00510AD0">
        <w:fldChar w:fldCharType="separate"/>
      </w:r>
      <w:r w:rsidR="007751F5" w:rsidRPr="00510AD0">
        <w:t>10.5(b)(B)</w:t>
      </w:r>
      <w:r w:rsidR="00286173" w:rsidRPr="00510AD0">
        <w:fldChar w:fldCharType="end"/>
      </w:r>
      <w:r w:rsidRPr="00510AD0">
        <w:t xml:space="preserve"> below, in an amount equal to the outstanding Letter of Credit,</w:t>
      </w:r>
      <w:r w:rsidR="003E7719" w:rsidRPr="00510AD0">
        <w:t xml:space="preserve"> and by completing the action</w:t>
      </w:r>
      <w:r w:rsidRPr="00510AD0">
        <w:t xml:space="preserve"> within five (5) Business Days after the date of Buyer’s </w:t>
      </w:r>
      <w:r w:rsidRPr="00510AD0">
        <w:lastRenderedPageBreak/>
        <w:t xml:space="preserve">Notice to Seller of an occurrence listed in this subsection (Seller’s compliance with either subsections (A) or </w:t>
      </w:r>
      <w:bookmarkStart w:id="383" w:name="DocXTextRef103"/>
      <w:r w:rsidRPr="00510AD0">
        <w:t>(B)</w:t>
      </w:r>
      <w:bookmarkEnd w:id="383"/>
      <w:r w:rsidRPr="00510AD0">
        <w:t xml:space="preserve"> below is considered the “Cure”):</w:t>
      </w:r>
      <w:bookmarkEnd w:id="381"/>
      <w:r w:rsidRPr="00510AD0">
        <w:t xml:space="preserve"> </w:t>
      </w:r>
    </w:p>
    <w:p w14:paraId="34A57877" w14:textId="7CF5951D" w:rsidR="0055205C" w:rsidRPr="00510AD0" w:rsidRDefault="0055205C" w:rsidP="00D74823">
      <w:pPr>
        <w:pStyle w:val="Heading5"/>
      </w:pPr>
      <w:bookmarkStart w:id="384" w:name="_Ref69141676"/>
      <w:r w:rsidRPr="00510AD0">
        <w:t xml:space="preserve">providing a substitute Letter of Credit that is issued by an Eligible LC Bank, other than the bank which is the subject of Buyer’s Notice to Seller in Section </w:t>
      </w:r>
      <w:r w:rsidR="00286173" w:rsidRPr="00510AD0">
        <w:fldChar w:fldCharType="begin"/>
      </w:r>
      <w:r w:rsidR="00286173" w:rsidRPr="00510AD0">
        <w:instrText xml:space="preserve">  REF _Ref69141675 \w \h \* MERGEFORMAT </w:instrText>
      </w:r>
      <w:r w:rsidR="00286173" w:rsidRPr="00510AD0">
        <w:fldChar w:fldCharType="separate"/>
      </w:r>
      <w:r w:rsidR="007751F5" w:rsidRPr="00510AD0">
        <w:t>10.5(b)</w:t>
      </w:r>
      <w:r w:rsidR="00286173" w:rsidRPr="00510AD0">
        <w:fldChar w:fldCharType="end"/>
      </w:r>
      <w:r w:rsidRPr="00510AD0">
        <w:t xml:space="preserve"> above, or</w:t>
      </w:r>
      <w:bookmarkEnd w:id="384"/>
      <w:r w:rsidRPr="00510AD0">
        <w:t xml:space="preserve"> </w:t>
      </w:r>
    </w:p>
    <w:p w14:paraId="4B0B4246" w14:textId="77777777" w:rsidR="0055205C" w:rsidRPr="00510AD0" w:rsidRDefault="0055205C" w:rsidP="00D74823">
      <w:pPr>
        <w:pStyle w:val="Heading5"/>
      </w:pPr>
      <w:bookmarkStart w:id="385" w:name="_Ref69141677"/>
      <w:r w:rsidRPr="00510AD0">
        <w:t>posting cash.</w:t>
      </w:r>
      <w:bookmarkEnd w:id="385"/>
    </w:p>
    <w:p w14:paraId="09FA577E" w14:textId="77777777" w:rsidR="0055205C" w:rsidRPr="00510AD0" w:rsidRDefault="0055205C" w:rsidP="00EB269A">
      <w:pPr>
        <w:pStyle w:val="HeadingBody4"/>
      </w:pPr>
      <w:r w:rsidRPr="00510AD0">
        <w:t>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Ten.</w:t>
      </w:r>
    </w:p>
    <w:p w14:paraId="63FB2B01" w14:textId="1939A658" w:rsidR="0055205C" w:rsidRPr="00510AD0" w:rsidRDefault="0055205C" w:rsidP="00D74823">
      <w:pPr>
        <w:pStyle w:val="Heading3"/>
      </w:pPr>
      <w:bookmarkStart w:id="386" w:name="_Ref69141678"/>
      <w:r w:rsidRPr="00510AD0">
        <w:t xml:space="preserve">Notwithstanding the foregoing in Section </w:t>
      </w:r>
      <w:r w:rsidR="00286173" w:rsidRPr="00510AD0">
        <w:fldChar w:fldCharType="begin"/>
      </w:r>
      <w:r w:rsidR="00286173" w:rsidRPr="00510AD0">
        <w:instrText xml:space="preserve">  REF _Ref69141675 \w \h \* MERGEFORMAT </w:instrText>
      </w:r>
      <w:r w:rsidR="00286173" w:rsidRPr="00510AD0">
        <w:fldChar w:fldCharType="separate"/>
      </w:r>
      <w:r w:rsidR="007751F5" w:rsidRPr="00510AD0">
        <w:t>10.5(b)</w:t>
      </w:r>
      <w:r w:rsidR="00286173" w:rsidRPr="00510AD0">
        <w:fldChar w:fldCharType="end"/>
      </w:r>
      <w:r w:rsidRPr="00510AD0">
        <w:t>,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bookmarkEnd w:id="386"/>
    </w:p>
    <w:p w14:paraId="35ADA1FA" w14:textId="77777777" w:rsidR="0055205C" w:rsidRPr="00510AD0" w:rsidRDefault="0055205C" w:rsidP="00D74823">
      <w:pPr>
        <w:pStyle w:val="Heading4"/>
      </w:pPr>
      <w:bookmarkStart w:id="387" w:name="_Ref69141679"/>
      <w:r w:rsidRPr="00510AD0">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bookmarkEnd w:id="387"/>
    </w:p>
    <w:p w14:paraId="612BBAC7" w14:textId="77777777" w:rsidR="0055205C" w:rsidRPr="00510AD0" w:rsidRDefault="0055205C" w:rsidP="00D74823">
      <w:pPr>
        <w:pStyle w:val="Heading5"/>
      </w:pPr>
      <w:bookmarkStart w:id="388" w:name="_Ref69141680"/>
      <w:r w:rsidRPr="00510AD0">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bookmarkEnd w:id="388"/>
    </w:p>
    <w:p w14:paraId="65A93EA8" w14:textId="59D3699E" w:rsidR="0055205C" w:rsidRPr="00510AD0" w:rsidRDefault="0055205C" w:rsidP="00D74823">
      <w:pPr>
        <w:pStyle w:val="Heading5"/>
      </w:pPr>
      <w:bookmarkStart w:id="389" w:name="_Ref69141681"/>
      <w:r w:rsidRPr="00510AD0">
        <w:t xml:space="preserve">the bank that is the subject of the LC Notice is an Ineligible LC Bank and Seller shall then have thirty (30) days from the date of Buyer’s Notice </w:t>
      </w:r>
      <w:r w:rsidR="007E07F1" w:rsidRPr="00510AD0">
        <w:t xml:space="preserve">to Cure </w:t>
      </w:r>
      <w:r w:rsidR="00B823F4" w:rsidRPr="00510AD0">
        <w:t xml:space="preserve">pursuant to </w:t>
      </w:r>
      <w:r w:rsidRPr="00510AD0">
        <w:t xml:space="preserve">Section </w:t>
      </w:r>
      <w:r w:rsidR="00286173" w:rsidRPr="00510AD0">
        <w:fldChar w:fldCharType="begin"/>
      </w:r>
      <w:r w:rsidR="00286173" w:rsidRPr="00510AD0">
        <w:instrText xml:space="preserve">  REF _Ref69141675 \w \h \* MERGEFORMAT </w:instrText>
      </w:r>
      <w:r w:rsidR="00286173" w:rsidRPr="00510AD0">
        <w:fldChar w:fldCharType="separate"/>
      </w:r>
      <w:r w:rsidR="00286173" w:rsidRPr="00510AD0">
        <w:t>10.5(b)</w:t>
      </w:r>
      <w:r w:rsidR="00286173" w:rsidRPr="00510AD0">
        <w:fldChar w:fldCharType="end"/>
      </w:r>
      <w:r w:rsidRPr="00510AD0">
        <w:t xml:space="preserve"> and, if Seller fails to Cure, then the last paragraph in Section </w:t>
      </w:r>
      <w:r w:rsidR="00286173" w:rsidRPr="00510AD0">
        <w:fldChar w:fldCharType="begin"/>
      </w:r>
      <w:r w:rsidR="00286173" w:rsidRPr="00510AD0">
        <w:instrText xml:space="preserve">  REF _Ref69141675 \w \h \* MERGEFORMAT </w:instrText>
      </w:r>
      <w:r w:rsidR="00286173" w:rsidRPr="00510AD0">
        <w:fldChar w:fldCharType="separate"/>
      </w:r>
      <w:r w:rsidR="007751F5" w:rsidRPr="00510AD0">
        <w:t>10.5(b)</w:t>
      </w:r>
      <w:r w:rsidR="00286173" w:rsidRPr="00510AD0">
        <w:fldChar w:fldCharType="end"/>
      </w:r>
      <w:r w:rsidRPr="00510AD0">
        <w:t xml:space="preserve"> shall apply to Seller.</w:t>
      </w:r>
      <w:bookmarkEnd w:id="389"/>
    </w:p>
    <w:p w14:paraId="28D58F1F" w14:textId="77777777" w:rsidR="0055205C" w:rsidRPr="00510AD0" w:rsidRDefault="0055205C" w:rsidP="00D74823">
      <w:pPr>
        <w:pStyle w:val="Heading4"/>
      </w:pPr>
      <w:bookmarkStart w:id="390" w:name="_Ref69141682"/>
      <w:r w:rsidRPr="00510AD0">
        <w:t>If the Parties have not agreed to a Substitute Letter of Credit and Buyer fails to provide a Notice during the Ineligible LC Bank Notice Period above, then Seller may continue providing the Letter of Credit posted immediately prior to the LC Notice.</w:t>
      </w:r>
      <w:bookmarkEnd w:id="390"/>
    </w:p>
    <w:p w14:paraId="23E054CE" w14:textId="77777777" w:rsidR="0055205C" w:rsidRPr="00510AD0" w:rsidRDefault="0055205C" w:rsidP="00D74823">
      <w:pPr>
        <w:pStyle w:val="Heading3"/>
      </w:pPr>
      <w:bookmarkStart w:id="391" w:name="_Ref69141683"/>
      <w:r w:rsidRPr="00510AD0">
        <w:t>In all cases, the reasonable costs and expenses of establishing, renewing, substituting, canceling, increasing, reducing, or otherwise administering the Letter of Credit shall be borne by Seller.</w:t>
      </w:r>
      <w:bookmarkEnd w:id="391"/>
    </w:p>
    <w:p w14:paraId="702233AE" w14:textId="3A5374CD" w:rsidR="0055205C" w:rsidRPr="00510AD0" w:rsidRDefault="0055205C" w:rsidP="0017021E">
      <w:pPr>
        <w:pStyle w:val="Heading2"/>
        <w:rPr>
          <w:vanish/>
          <w:specVanish/>
        </w:rPr>
      </w:pPr>
      <w:bookmarkStart w:id="392" w:name="_Ref69141684"/>
      <w:bookmarkStart w:id="393" w:name="_Toc70208404"/>
      <w:bookmarkStart w:id="394" w:name="_Toc81215054"/>
      <w:bookmarkStart w:id="395" w:name="_Toc78477827"/>
      <w:bookmarkStart w:id="396" w:name="_Toc99035865"/>
      <w:r w:rsidRPr="00510AD0">
        <w:lastRenderedPageBreak/>
        <w:t>Guaranty</w:t>
      </w:r>
      <w:bookmarkEnd w:id="392"/>
      <w:r w:rsidR="00AB12A0" w:rsidRPr="00510AD0">
        <w:rPr>
          <w:rStyle w:val="FootnoteReference"/>
        </w:rPr>
        <w:footnoteReference w:id="29"/>
      </w:r>
      <w:bookmarkEnd w:id="393"/>
      <w:bookmarkEnd w:id="394"/>
      <w:bookmarkEnd w:id="395"/>
      <w:bookmarkEnd w:id="396"/>
    </w:p>
    <w:p w14:paraId="6B259A09" w14:textId="3E4805C0" w:rsidR="0055205C" w:rsidRPr="00510AD0" w:rsidRDefault="0055205C" w:rsidP="00AB12A0">
      <w:pPr>
        <w:pStyle w:val="Heading2Continued"/>
      </w:pPr>
      <w:r w:rsidRPr="00510AD0">
        <w:t xml:space="preserve">. </w:t>
      </w:r>
      <w:r w:rsidR="00AB12A0" w:rsidRPr="00510AD0">
        <w:t>Seller [shall] [shall not] provide a Guaranty in connection with Seller’s Collateral Threshold under Section 10.4(a). [Seller’s Guarantor is {</w:t>
      </w:r>
      <w:r w:rsidR="00AB12A0" w:rsidRPr="00510AD0">
        <w:rPr>
          <w:b/>
          <w:bCs/>
          <w:i/>
          <w:iCs/>
        </w:rPr>
        <w:t>insert Guarantor’s name</w:t>
      </w:r>
      <w:r w:rsidR="00AB12A0" w:rsidRPr="00510AD0">
        <w:t>}].</w:t>
      </w:r>
      <w:r w:rsidRPr="00510AD0">
        <w:t xml:space="preserve"> </w:t>
      </w:r>
      <w:r w:rsidR="00876369" w:rsidRPr="00510AD0">
        <w:t>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1C9346FB" w14:textId="77777777" w:rsidR="0055205C" w:rsidRPr="00510AD0" w:rsidRDefault="0055205C" w:rsidP="00B458B6">
      <w:pPr>
        <w:pStyle w:val="Heading1"/>
        <w:rPr>
          <w:i/>
        </w:rPr>
      </w:pPr>
      <w:bookmarkStart w:id="397" w:name="_Toc70208405"/>
      <w:bookmarkStart w:id="398" w:name="_Toc81215055"/>
      <w:bookmarkStart w:id="399" w:name="_Toc78477828"/>
      <w:bookmarkStart w:id="400" w:name="_Toc99035866"/>
      <w:r w:rsidRPr="00510AD0">
        <w:br/>
      </w:r>
      <w:bookmarkStart w:id="401" w:name="_Ref69141685"/>
      <w:r w:rsidRPr="00510AD0">
        <w:t>SAFETY</w:t>
      </w:r>
      <w:bookmarkEnd w:id="397"/>
      <w:bookmarkEnd w:id="398"/>
      <w:bookmarkEnd w:id="399"/>
      <w:bookmarkEnd w:id="400"/>
      <w:bookmarkEnd w:id="401"/>
      <w:r w:rsidRPr="00510AD0">
        <w:t xml:space="preserve"> </w:t>
      </w:r>
    </w:p>
    <w:p w14:paraId="0BD614A4" w14:textId="6B1BFC4E" w:rsidR="00CE51AF" w:rsidRPr="00510AD0" w:rsidRDefault="00A8132B" w:rsidP="0008336B">
      <w:pPr>
        <w:pStyle w:val="Heading2"/>
        <w:rPr>
          <w:specVanish/>
        </w:rPr>
      </w:pPr>
      <w:bookmarkStart w:id="402" w:name="_Toc81215056"/>
      <w:bookmarkStart w:id="403" w:name="_Toc99035867"/>
      <w:bookmarkStart w:id="404" w:name="_Ref69141686"/>
      <w:bookmarkStart w:id="405" w:name="_Toc70208406"/>
      <w:r w:rsidRPr="00510AD0">
        <w:t>Safety.</w:t>
      </w:r>
      <w:bookmarkEnd w:id="402"/>
      <w:bookmarkEnd w:id="403"/>
    </w:p>
    <w:p w14:paraId="09F98A13" w14:textId="614D2947" w:rsidR="00A467B8" w:rsidRPr="00510AD0" w:rsidRDefault="00A467B8" w:rsidP="00A467B8">
      <w:pPr>
        <w:pStyle w:val="Heading3"/>
        <w:numPr>
          <w:ilvl w:val="2"/>
          <w:numId w:val="10"/>
        </w:numPr>
      </w:pPr>
      <w:bookmarkStart w:id="406" w:name="_Ref69200697"/>
      <w:bookmarkStart w:id="407" w:name="_Ref69141687"/>
      <w:bookmarkEnd w:id="404"/>
      <w:bookmarkEnd w:id="405"/>
      <w:r w:rsidRPr="00510AD0">
        <w:t xml:space="preserve">Seller shall, and shall cause its Affiliates, Contractors and subject to Section </w:t>
      </w:r>
      <w:r w:rsidR="00E30D29" w:rsidRPr="00510AD0">
        <w:t>14.4</w:t>
      </w:r>
      <w:r w:rsidRPr="00510AD0">
        <w:t xml:space="preserve"> the Project Company (and to the extent applicable, its Affiliates and Contractors) to, comply with, and to operate, and maintain the Project, deliver the Product and conduct all Work or cause all Work to be conducted in accordance with, the Safety Requirements.  Seller shall, and shall cause its Affiliates and Contractors to, and subject to Section </w:t>
      </w:r>
      <w:r w:rsidR="00E30D29" w:rsidRPr="00510AD0">
        <w:t>14.4</w:t>
      </w:r>
      <w:r w:rsidRPr="00510AD0">
        <w:t xml:space="preserve"> shall cause the Project Company, its Affiliates and Contractors to, take all actions to comply with the Safety Requirements.</w:t>
      </w:r>
      <w:bookmarkEnd w:id="406"/>
    </w:p>
    <w:p w14:paraId="45329FD8" w14:textId="0C89DE51" w:rsidR="00A467B8" w:rsidRPr="00510AD0" w:rsidRDefault="00A467B8" w:rsidP="00A467B8">
      <w:pPr>
        <w:pStyle w:val="Heading3"/>
        <w:numPr>
          <w:ilvl w:val="2"/>
          <w:numId w:val="10"/>
        </w:numPr>
      </w:pPr>
      <w:r w:rsidRPr="00510AD0">
        <w:t xml:space="preserve">Throughout the Term, Buyer shall have the right to request Seller and subject to Section </w:t>
      </w:r>
      <w:r w:rsidR="00E30D29" w:rsidRPr="00510AD0">
        <w:t>14.4</w:t>
      </w:r>
      <w:r w:rsidRPr="00510AD0">
        <w:t xml:space="preserve"> the Project Company each demonstrate its compliance with the Safety Requirements to CPE’s reasonable satisfaction within thirty (30) days of Buyer’s Notice.</w:t>
      </w:r>
    </w:p>
    <w:p w14:paraId="6B6C4859" w14:textId="77777777" w:rsidR="0055205C" w:rsidRPr="00510AD0" w:rsidRDefault="0055205C" w:rsidP="00B458B6">
      <w:pPr>
        <w:pStyle w:val="Heading1"/>
      </w:pPr>
      <w:bookmarkStart w:id="408" w:name="_Toc70208410"/>
      <w:bookmarkStart w:id="409" w:name="_Toc81215060"/>
      <w:bookmarkStart w:id="410" w:name="_Toc78477829"/>
      <w:bookmarkStart w:id="411" w:name="_Toc99035868"/>
      <w:bookmarkEnd w:id="407"/>
      <w:r w:rsidRPr="00510AD0">
        <w:br/>
      </w:r>
      <w:bookmarkStart w:id="412" w:name="_Ref69141704"/>
      <w:r w:rsidRPr="00510AD0">
        <w:t>GOVERNMENTAL CHARGES</w:t>
      </w:r>
      <w:bookmarkEnd w:id="408"/>
      <w:bookmarkEnd w:id="409"/>
      <w:bookmarkEnd w:id="410"/>
      <w:bookmarkEnd w:id="411"/>
      <w:bookmarkEnd w:id="412"/>
    </w:p>
    <w:p w14:paraId="342074A5" w14:textId="77777777" w:rsidR="0055205C" w:rsidRPr="00510AD0" w:rsidRDefault="0055205C" w:rsidP="0017021E">
      <w:pPr>
        <w:pStyle w:val="Heading2"/>
        <w:rPr>
          <w:vanish/>
          <w:specVanish/>
        </w:rPr>
      </w:pPr>
      <w:bookmarkStart w:id="413" w:name="_Ref69141705"/>
      <w:bookmarkStart w:id="414" w:name="_Toc70208411"/>
      <w:bookmarkStart w:id="415" w:name="_Toc81215061"/>
      <w:bookmarkStart w:id="416" w:name="_Toc78477830"/>
      <w:bookmarkStart w:id="417" w:name="_Toc99035869"/>
      <w:r w:rsidRPr="00510AD0">
        <w:t>Cooperation</w:t>
      </w:r>
      <w:bookmarkEnd w:id="413"/>
      <w:bookmarkEnd w:id="414"/>
      <w:bookmarkEnd w:id="415"/>
      <w:bookmarkEnd w:id="416"/>
      <w:bookmarkEnd w:id="417"/>
    </w:p>
    <w:p w14:paraId="5C27B096" w14:textId="77777777" w:rsidR="0055205C" w:rsidRPr="00510AD0" w:rsidRDefault="0055205C" w:rsidP="00727F6E">
      <w:pPr>
        <w:pStyle w:val="Heading2Continued"/>
      </w:pPr>
      <w:r w:rsidRPr="00510AD0">
        <w:t>.  Each Party shall use reasonable efforts to implement the provisions of and to administer this Agreement in accordance with the intent of the Parties to minimize all taxes, so long as neither Party is materially adversely affected by such efforts.</w:t>
      </w:r>
    </w:p>
    <w:p w14:paraId="79AE51BD" w14:textId="77777777" w:rsidR="0055205C" w:rsidRPr="00510AD0" w:rsidRDefault="0055205C" w:rsidP="0017021E">
      <w:pPr>
        <w:pStyle w:val="Heading2"/>
        <w:rPr>
          <w:vanish/>
          <w:specVanish/>
        </w:rPr>
      </w:pPr>
      <w:bookmarkStart w:id="418" w:name="_Ref69141706"/>
      <w:bookmarkStart w:id="419" w:name="_Toc70208412"/>
      <w:bookmarkStart w:id="420" w:name="_Toc81215062"/>
      <w:bookmarkStart w:id="421" w:name="_Toc78477831"/>
      <w:bookmarkStart w:id="422" w:name="_Toc99035870"/>
      <w:r w:rsidRPr="00510AD0">
        <w:t>Governmental Charges</w:t>
      </w:r>
      <w:bookmarkEnd w:id="418"/>
      <w:bookmarkEnd w:id="419"/>
      <w:bookmarkEnd w:id="420"/>
      <w:bookmarkEnd w:id="421"/>
      <w:bookmarkEnd w:id="422"/>
    </w:p>
    <w:p w14:paraId="2F82CB67" w14:textId="5527DDED" w:rsidR="0055205C" w:rsidRPr="00510AD0" w:rsidRDefault="0055205C" w:rsidP="00727F6E">
      <w:pPr>
        <w:pStyle w:val="Heading2Continued"/>
      </w:pPr>
      <w:r w:rsidRPr="00510AD0">
        <w:t xml:space="preserve">.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 or with respect to the Seller Supply Agreement and the transactions contemplated thereunder, but not with respect to Buyer’s use of the Product after delivery by Seller, including any resales or transfers of the Product.  If Buyer is required by Law to remit or pay Governmental Charges which are Seller’s responsibility hereunder, Buyer may invoice for, or deduct, the amount of any such Governmental Charges from the sums due to </w:t>
      </w:r>
      <w:r w:rsidRPr="00510AD0">
        <w:lastRenderedPageBreak/>
        <w:t>Seller under Article Six of this Agreement. Nothing shall obligate or cause a Party to pay or be liable to pay any Governmental Charges for which it is exempt under Law.</w:t>
      </w:r>
    </w:p>
    <w:p w14:paraId="47C1FF1E" w14:textId="77777777" w:rsidR="0055205C" w:rsidRPr="00510AD0" w:rsidRDefault="0055205C" w:rsidP="00B458B6">
      <w:pPr>
        <w:pStyle w:val="Heading1"/>
      </w:pPr>
      <w:bookmarkStart w:id="423" w:name="_Toc70208413"/>
      <w:bookmarkStart w:id="424" w:name="_Toc81215063"/>
      <w:bookmarkStart w:id="425" w:name="_Toc78477832"/>
      <w:bookmarkStart w:id="426" w:name="_Toc99035871"/>
      <w:r w:rsidRPr="00510AD0">
        <w:br/>
      </w:r>
      <w:bookmarkStart w:id="427" w:name="_Ref69141707"/>
      <w:r w:rsidRPr="00510AD0">
        <w:t>LIMITATIONS</w:t>
      </w:r>
      <w:bookmarkEnd w:id="423"/>
      <w:bookmarkEnd w:id="424"/>
      <w:bookmarkEnd w:id="425"/>
      <w:bookmarkEnd w:id="426"/>
      <w:bookmarkEnd w:id="427"/>
    </w:p>
    <w:p w14:paraId="7864ED6C" w14:textId="77777777" w:rsidR="0055205C" w:rsidRPr="00510AD0" w:rsidRDefault="0055205C" w:rsidP="0017021E">
      <w:pPr>
        <w:pStyle w:val="Heading2"/>
        <w:rPr>
          <w:vanish/>
          <w:specVanish/>
        </w:rPr>
      </w:pPr>
      <w:bookmarkStart w:id="428" w:name="_Ref69141708"/>
      <w:bookmarkStart w:id="429" w:name="_Toc70208414"/>
      <w:bookmarkStart w:id="430" w:name="_Toc81215064"/>
      <w:bookmarkStart w:id="431" w:name="_Toc78477833"/>
      <w:bookmarkStart w:id="432" w:name="_Toc99035872"/>
      <w:r w:rsidRPr="00510AD0">
        <w:t>Limitation of Remedies, Liability and Damages</w:t>
      </w:r>
      <w:bookmarkEnd w:id="428"/>
      <w:bookmarkEnd w:id="429"/>
      <w:bookmarkEnd w:id="430"/>
      <w:bookmarkEnd w:id="431"/>
      <w:bookmarkEnd w:id="432"/>
    </w:p>
    <w:p w14:paraId="52F54C08" w14:textId="45778C64" w:rsidR="0055205C" w:rsidRPr="00510AD0" w:rsidRDefault="0055205C" w:rsidP="00727F6E">
      <w:pPr>
        <w:pStyle w:val="Heading2Continued"/>
      </w:pPr>
      <w:r w:rsidRPr="00510AD0">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w:t>
      </w:r>
      <w:r w:rsidR="00286173" w:rsidRPr="00510AD0">
        <w:fldChar w:fldCharType="begin"/>
      </w:r>
      <w:r w:rsidR="00286173" w:rsidRPr="00510AD0">
        <w:instrText xml:space="preserve">  REF _Ref69141741 \w \h \* MERGEFORMAT </w:instrText>
      </w:r>
      <w:r w:rsidR="00286173" w:rsidRPr="00510AD0">
        <w:fldChar w:fldCharType="separate"/>
      </w:r>
      <w:r w:rsidR="007751F5" w:rsidRPr="00510AD0">
        <w:t>15.1</w:t>
      </w:r>
      <w:r w:rsidR="00286173" w:rsidRPr="00510AD0">
        <w:fldChar w:fldCharType="end"/>
      </w:r>
      <w:r w:rsidRPr="00510AD0">
        <w:t xml:space="preserve"> THROUGH </w:t>
      </w:r>
      <w:r w:rsidR="00286173" w:rsidRPr="00510AD0">
        <w:fldChar w:fldCharType="begin"/>
      </w:r>
      <w:r w:rsidR="00286173" w:rsidRPr="00510AD0">
        <w:instrText xml:space="preserve">  REF _Ref69141752 \w \h \* MERGEFORMAT </w:instrText>
      </w:r>
      <w:r w:rsidR="00286173" w:rsidRPr="00510AD0">
        <w:fldChar w:fldCharType="separate"/>
      </w:r>
      <w:r w:rsidR="007751F5" w:rsidRPr="00510AD0">
        <w:t>15.6</w:t>
      </w:r>
      <w:r w:rsidR="00286173" w:rsidRPr="00510AD0">
        <w:fldChar w:fldCharType="end"/>
      </w:r>
      <w:r w:rsidRPr="00510AD0">
        <w:t xml:space="preserve">) OR OTHERWISE EXCEPT TO THE EXTENT PART OF AN EXPRESS REMEDY OR MEASURE OF DAMAGES HEREIN.  UNLESS EXPRESSLY HEREIN PROVIDED, AND SUBJECT TO THE PROVISIONS OF SECTIONS </w:t>
      </w:r>
      <w:r w:rsidR="00286173" w:rsidRPr="00510AD0">
        <w:fldChar w:fldCharType="begin"/>
      </w:r>
      <w:r w:rsidR="00286173" w:rsidRPr="00510AD0">
        <w:instrText xml:space="preserve">  REF _Ref69141741 \w \h \* MERGEFORMAT </w:instrText>
      </w:r>
      <w:r w:rsidR="00286173" w:rsidRPr="00510AD0">
        <w:fldChar w:fldCharType="separate"/>
      </w:r>
      <w:r w:rsidR="007751F5" w:rsidRPr="00510AD0">
        <w:t>15.1</w:t>
      </w:r>
      <w:r w:rsidR="00286173" w:rsidRPr="00510AD0">
        <w:fldChar w:fldCharType="end"/>
      </w:r>
      <w:r w:rsidRPr="00510AD0">
        <w:t xml:space="preserve"> THROUGH </w:t>
      </w:r>
      <w:r w:rsidR="00286173" w:rsidRPr="00510AD0">
        <w:fldChar w:fldCharType="begin"/>
      </w:r>
      <w:r w:rsidR="00286173" w:rsidRPr="00510AD0">
        <w:instrText xml:space="preserve">  REF _Ref69141752 \w \h \* MERGEFORMAT </w:instrText>
      </w:r>
      <w:r w:rsidR="00286173" w:rsidRPr="00510AD0">
        <w:fldChar w:fldCharType="separate"/>
      </w:r>
      <w:r w:rsidR="007751F5" w:rsidRPr="00510AD0">
        <w:t>15.6</w:t>
      </w:r>
      <w:r w:rsidR="00286173" w:rsidRPr="00510AD0">
        <w:fldChar w:fldCharType="end"/>
      </w:r>
      <w:r w:rsidRPr="00510AD0">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2772BC3A" w14:textId="77777777" w:rsidR="0055205C" w:rsidRPr="00510AD0" w:rsidRDefault="0055205C" w:rsidP="00B458B6">
      <w:pPr>
        <w:pStyle w:val="Heading1"/>
      </w:pPr>
      <w:bookmarkStart w:id="433" w:name="_Toc70208415"/>
      <w:bookmarkStart w:id="434" w:name="_Toc81215065"/>
      <w:bookmarkStart w:id="435" w:name="_Toc78477834"/>
      <w:bookmarkStart w:id="436" w:name="_Toc99035873"/>
      <w:r w:rsidRPr="00510AD0">
        <w:br/>
      </w:r>
      <w:bookmarkStart w:id="437" w:name="_Ref69141709"/>
      <w:r w:rsidRPr="00510AD0">
        <w:t>REPRESENTATIONS; WARRANTIES; COVENANTS</w:t>
      </w:r>
      <w:bookmarkEnd w:id="433"/>
      <w:bookmarkEnd w:id="434"/>
      <w:bookmarkEnd w:id="435"/>
      <w:bookmarkEnd w:id="436"/>
      <w:bookmarkEnd w:id="437"/>
    </w:p>
    <w:p w14:paraId="77ABD76E" w14:textId="7DEAFFAA" w:rsidR="0055205C" w:rsidRPr="00510AD0" w:rsidRDefault="0055205C" w:rsidP="0017021E">
      <w:pPr>
        <w:pStyle w:val="Heading2"/>
      </w:pPr>
      <w:bookmarkStart w:id="438" w:name="_Ref69141710"/>
      <w:bookmarkStart w:id="439" w:name="_Toc70208416"/>
      <w:bookmarkStart w:id="440" w:name="_Toc81215066"/>
      <w:bookmarkStart w:id="441" w:name="_Toc78477835"/>
      <w:bookmarkStart w:id="442" w:name="_Toc99035874"/>
      <w:r w:rsidRPr="00510AD0">
        <w:t>Representations and Warranties.</w:t>
      </w:r>
      <w:bookmarkEnd w:id="438"/>
      <w:bookmarkEnd w:id="439"/>
      <w:bookmarkEnd w:id="440"/>
      <w:bookmarkEnd w:id="441"/>
      <w:bookmarkEnd w:id="442"/>
    </w:p>
    <w:p w14:paraId="1674996A" w14:textId="77777777" w:rsidR="0055205C" w:rsidRPr="00510AD0" w:rsidRDefault="0055205C" w:rsidP="00D74823">
      <w:pPr>
        <w:pStyle w:val="Heading3"/>
      </w:pPr>
      <w:bookmarkStart w:id="443" w:name="_Hlk25739238"/>
      <w:r w:rsidRPr="00510AD0">
        <w:lastRenderedPageBreak/>
        <w:t>On the Execution Date, each Party represents and warrants to the other Party that:</w:t>
      </w:r>
      <w:bookmarkEnd w:id="443"/>
    </w:p>
    <w:p w14:paraId="122E3421" w14:textId="77777777" w:rsidR="0055205C" w:rsidRPr="00510AD0" w:rsidRDefault="0055205C" w:rsidP="00D74823">
      <w:pPr>
        <w:pStyle w:val="Heading4"/>
      </w:pPr>
      <w:bookmarkStart w:id="444" w:name="_Ref69141711"/>
      <w:r w:rsidRPr="00510AD0">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bookmarkEnd w:id="444"/>
    </w:p>
    <w:p w14:paraId="1A25DE4C" w14:textId="77777777" w:rsidR="00C057E8" w:rsidRPr="00510AD0" w:rsidRDefault="00C057E8" w:rsidP="00C057E8">
      <w:pPr>
        <w:pStyle w:val="Heading4"/>
        <w:numPr>
          <w:ilvl w:val="3"/>
          <w:numId w:val="10"/>
        </w:numPr>
      </w:pPr>
      <w:bookmarkStart w:id="445" w:name="_Ref69141712"/>
      <w:r w:rsidRPr="00510AD0">
        <w:t>[except for receipt of CPUC Approval, in the case of Buyer, and]</w:t>
      </w:r>
      <w:r w:rsidRPr="00510AD0">
        <w:rPr>
          <w:rStyle w:val="FootnoteReference"/>
        </w:rPr>
        <w:footnoteReference w:id="30"/>
      </w:r>
      <w:r w:rsidRPr="00510AD0">
        <w:t xml:space="preserve"> [except,]</w:t>
      </w:r>
      <w:r w:rsidRPr="00510AD0">
        <w:rPr>
          <w:rStyle w:val="FootnoteReference"/>
        </w:rPr>
        <w:footnoteReference w:id="31"/>
      </w:r>
      <w:r w:rsidRPr="00510AD0">
        <w:t xml:space="preserve"> in the case of Seller, for the Governmental Approvals necessary to operate and maintain the Project, it has all Governmental Approvals necessary for it to legally perform its obligations under this Agreement, and in the case of Seller, the Seller Supply Agreement;</w:t>
      </w:r>
    </w:p>
    <w:p w14:paraId="3D62CF65" w14:textId="77777777" w:rsidR="0055205C" w:rsidRPr="00510AD0" w:rsidRDefault="0055205C" w:rsidP="00D74823">
      <w:pPr>
        <w:pStyle w:val="Heading4"/>
      </w:pPr>
      <w:bookmarkStart w:id="446" w:name="_Ref69141713"/>
      <w:bookmarkEnd w:id="445"/>
      <w:r w:rsidRPr="00510AD0">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bookmarkEnd w:id="446"/>
    </w:p>
    <w:p w14:paraId="12BB2B43" w14:textId="77777777" w:rsidR="0055205C" w:rsidRPr="00510AD0" w:rsidRDefault="0055205C" w:rsidP="00D74823">
      <w:pPr>
        <w:pStyle w:val="Heading4"/>
      </w:pPr>
      <w:bookmarkStart w:id="447" w:name="_Ref69141714"/>
      <w:r w:rsidRPr="00510AD0">
        <w:t>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w:t>
      </w:r>
      <w:bookmarkEnd w:id="447"/>
      <w:r w:rsidRPr="00510AD0">
        <w:t xml:space="preserve"> </w:t>
      </w:r>
    </w:p>
    <w:p w14:paraId="31776D73" w14:textId="77777777" w:rsidR="0055205C" w:rsidRPr="00510AD0" w:rsidRDefault="0055205C" w:rsidP="00D74823">
      <w:pPr>
        <w:pStyle w:val="Heading4"/>
      </w:pPr>
      <w:bookmarkStart w:id="448" w:name="_Ref69141715"/>
      <w:r w:rsidRPr="00510AD0">
        <w:t>this Agreement and each other document executed and delivered in accordance with this Agreement constitutes its legally valid and binding obligation enforceable against it in accordance with its terms, subject to any Equitable Defenses;</w:t>
      </w:r>
      <w:bookmarkEnd w:id="448"/>
    </w:p>
    <w:p w14:paraId="4DAEB2E3" w14:textId="33D9B8C1" w:rsidR="0055205C" w:rsidRPr="00510AD0" w:rsidRDefault="0055205C" w:rsidP="00D74823">
      <w:pPr>
        <w:pStyle w:val="Heading4"/>
      </w:pPr>
      <w:bookmarkStart w:id="449" w:name="_Ref69141716"/>
      <w:bookmarkStart w:id="450" w:name="_Hlk58508130"/>
      <w:r w:rsidRPr="00510AD0">
        <w:t>it is not Bankrupt and there are no proceedings pending or being contemplated by it or, to its knowledge, threatened against it which would result in it being or becoming Bankrupt</w:t>
      </w:r>
      <w:bookmarkEnd w:id="449"/>
      <w:r w:rsidR="002C7636" w:rsidRPr="00510AD0">
        <w:t>;</w:t>
      </w:r>
    </w:p>
    <w:p w14:paraId="42118DB3" w14:textId="5FABDEBB" w:rsidR="0055205C" w:rsidRPr="00510AD0" w:rsidRDefault="0055205C" w:rsidP="00D74823">
      <w:pPr>
        <w:pStyle w:val="Heading4"/>
      </w:pPr>
      <w:bookmarkStart w:id="451" w:name="_Ref69141717"/>
      <w:bookmarkEnd w:id="450"/>
      <w:r w:rsidRPr="00510AD0">
        <w:t xml:space="preserve">there is not pending or, to its knowledge, threatened against it or any of its Affiliates any legal proceedings that could materially adversely affect </w:t>
      </w:r>
      <w:r w:rsidR="00D731DF">
        <w:t>its</w:t>
      </w:r>
      <w:r w:rsidRPr="00510AD0">
        <w:t xml:space="preserve"> ability to perform its obligations under this Agreement;</w:t>
      </w:r>
      <w:bookmarkEnd w:id="451"/>
    </w:p>
    <w:p w14:paraId="3675E0B2" w14:textId="77777777" w:rsidR="0055205C" w:rsidRPr="00510AD0" w:rsidRDefault="0055205C" w:rsidP="00D74823">
      <w:pPr>
        <w:pStyle w:val="Heading4"/>
      </w:pPr>
      <w:bookmarkStart w:id="452" w:name="_Ref69141718"/>
      <w:r w:rsidRPr="00510AD0">
        <w:t>no Event of Default with respect to it has occurred and is continuing and no such event or circumstance would occur as a result of its entering into or performing its obligations under this Agreement;</w:t>
      </w:r>
      <w:bookmarkEnd w:id="452"/>
      <w:r w:rsidRPr="00510AD0">
        <w:t xml:space="preserve"> </w:t>
      </w:r>
    </w:p>
    <w:p w14:paraId="6339F03E" w14:textId="77777777" w:rsidR="0055205C" w:rsidRPr="00510AD0" w:rsidRDefault="0055205C" w:rsidP="00D74823">
      <w:pPr>
        <w:pStyle w:val="Heading4"/>
      </w:pPr>
      <w:bookmarkStart w:id="453" w:name="_Ref69141719"/>
      <w:r w:rsidRPr="00510AD0">
        <w:lastRenderedPageBreak/>
        <w:t>it is a “forward contract merchant” within the meaning of the United States Bankruptcy Code (as in effect as of the Execution Date of this Agreement);</w:t>
      </w:r>
      <w:bookmarkEnd w:id="453"/>
    </w:p>
    <w:p w14:paraId="40C263B9" w14:textId="77777777" w:rsidR="0055205C" w:rsidRPr="00510AD0" w:rsidRDefault="0055205C" w:rsidP="00D74823">
      <w:pPr>
        <w:pStyle w:val="Heading4"/>
      </w:pPr>
      <w:bookmarkStart w:id="454" w:name="_Ref69141720"/>
      <w:r w:rsidRPr="00510AD0">
        <w:t>it has entered into this Agreement in connection with the conduct of its business and it has the capacity or the ability to make or take delivery of the Product as provided in this Agreement; and</w:t>
      </w:r>
      <w:bookmarkEnd w:id="454"/>
    </w:p>
    <w:p w14:paraId="7C788AF1" w14:textId="77777777" w:rsidR="0055205C" w:rsidRPr="00510AD0" w:rsidRDefault="0055205C" w:rsidP="00D74823">
      <w:pPr>
        <w:pStyle w:val="Heading4"/>
      </w:pPr>
      <w:bookmarkStart w:id="455" w:name="_Ref69141721"/>
      <w:r w:rsidRPr="00510AD0">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bookmarkEnd w:id="455"/>
    </w:p>
    <w:p w14:paraId="7C15860F" w14:textId="77777777" w:rsidR="0055205C" w:rsidRPr="00510AD0" w:rsidRDefault="0055205C" w:rsidP="00D74823">
      <w:pPr>
        <w:pStyle w:val="Heading3"/>
        <w:numPr>
          <w:ilvl w:val="2"/>
          <w:numId w:val="10"/>
        </w:numPr>
      </w:pPr>
      <w:bookmarkStart w:id="456" w:name="_Ref69141722"/>
      <w:bookmarkStart w:id="457" w:name="_Hlk33719554"/>
      <w:r w:rsidRPr="00510AD0">
        <w:t>On the Execution Date, Seller represents and warrants to Buyer that:</w:t>
      </w:r>
      <w:bookmarkEnd w:id="456"/>
    </w:p>
    <w:p w14:paraId="60C4DBBE" w14:textId="77777777" w:rsidR="0055205C" w:rsidRPr="00510AD0" w:rsidRDefault="00A22BB0" w:rsidP="00D74823">
      <w:pPr>
        <w:pStyle w:val="Heading4"/>
        <w:numPr>
          <w:ilvl w:val="3"/>
          <w:numId w:val="10"/>
        </w:numPr>
      </w:pPr>
      <w:bookmarkStart w:id="458" w:name="_Ref69141723"/>
      <w:r w:rsidRPr="00510AD0">
        <w:t>[Reserved]</w:t>
      </w:r>
      <w:r w:rsidR="0055205C" w:rsidRPr="00510AD0">
        <w:t>;</w:t>
      </w:r>
      <w:bookmarkEnd w:id="458"/>
    </w:p>
    <w:p w14:paraId="7B2EF03F" w14:textId="77777777" w:rsidR="0055205C" w:rsidRPr="00510AD0" w:rsidRDefault="00733A06" w:rsidP="00D74823">
      <w:pPr>
        <w:pStyle w:val="Heading4"/>
        <w:numPr>
          <w:ilvl w:val="3"/>
          <w:numId w:val="10"/>
        </w:numPr>
      </w:pPr>
      <w:bookmarkStart w:id="459" w:name="_Ref69141724"/>
      <w:bookmarkStart w:id="460" w:name="_Hlk64985231"/>
      <w:r w:rsidRPr="00510AD0">
        <w:t xml:space="preserve">to its knowledge, </w:t>
      </w:r>
      <w:r w:rsidR="0055205C" w:rsidRPr="00510AD0">
        <w:t>the Project Company has all Governmental Approvals necessary for the Project to operate, generate and deliver Product and for Project Company to legally perform its obligations under the Seller Supply Agreement;</w:t>
      </w:r>
      <w:bookmarkEnd w:id="459"/>
    </w:p>
    <w:p w14:paraId="52C39420" w14:textId="77777777" w:rsidR="0055205C" w:rsidRPr="00510AD0" w:rsidRDefault="0055205C" w:rsidP="00D74823">
      <w:pPr>
        <w:pStyle w:val="Heading4"/>
        <w:numPr>
          <w:ilvl w:val="3"/>
          <w:numId w:val="10"/>
        </w:numPr>
      </w:pPr>
      <w:bookmarkStart w:id="461" w:name="_Ref69141725"/>
      <w:r w:rsidRPr="00510AD0">
        <w:t xml:space="preserve">there is not pending or </w:t>
      </w:r>
      <w:r w:rsidR="008847A2" w:rsidRPr="00510AD0">
        <w:t xml:space="preserve">to its knowledge </w:t>
      </w:r>
      <w:r w:rsidRPr="00510AD0">
        <w:t xml:space="preserve">threatened against it, the Project Company or any of their respective Affiliates any legal proceedings that could materially adversely affect </w:t>
      </w:r>
      <w:r w:rsidR="00733A06" w:rsidRPr="00510AD0">
        <w:t xml:space="preserve">such entity’s </w:t>
      </w:r>
      <w:r w:rsidRPr="00510AD0">
        <w:t>ability to perform its obligations under the Seller Supply Agreement;</w:t>
      </w:r>
      <w:bookmarkEnd w:id="461"/>
    </w:p>
    <w:p w14:paraId="3416778D" w14:textId="77777777" w:rsidR="00733A06" w:rsidRPr="00510AD0" w:rsidRDefault="00733A06" w:rsidP="00733A06">
      <w:pPr>
        <w:pStyle w:val="Heading4"/>
        <w:numPr>
          <w:ilvl w:val="3"/>
          <w:numId w:val="10"/>
        </w:numPr>
      </w:pPr>
      <w:r w:rsidRPr="00510AD0">
        <w:t>the Seller Supply Agreement requires that each of Project’s Scheduling Coordinator, Project Company, and operator comply with appli</w:t>
      </w:r>
      <w:r w:rsidR="008847A2" w:rsidRPr="00510AD0">
        <w:t>c</w:t>
      </w:r>
      <w:r w:rsidRPr="00510AD0">
        <w:t>able Law, including CAISO Tariff, relating to any of the Capacity Attributes comprising the Product, including the operation of the Project;</w:t>
      </w:r>
    </w:p>
    <w:p w14:paraId="5CF53396" w14:textId="77777777" w:rsidR="0055205C" w:rsidRPr="00510AD0" w:rsidRDefault="0055205C" w:rsidP="00D74823">
      <w:pPr>
        <w:pStyle w:val="Heading4"/>
        <w:numPr>
          <w:ilvl w:val="3"/>
          <w:numId w:val="10"/>
        </w:numPr>
      </w:pPr>
      <w:bookmarkStart w:id="462" w:name="_Ref69141726"/>
      <w:bookmarkEnd w:id="460"/>
      <w:r w:rsidRPr="00510AD0">
        <w:t xml:space="preserve">the Seller Supply Agreement </w:t>
      </w:r>
      <w:bookmarkStart w:id="463" w:name="_Hlk25739310"/>
      <w:r w:rsidRPr="00510AD0">
        <w:t>is in full force and effect; and</w:t>
      </w:r>
      <w:bookmarkEnd w:id="462"/>
    </w:p>
    <w:p w14:paraId="45C8F9C1" w14:textId="77777777" w:rsidR="0055205C" w:rsidRPr="00510AD0" w:rsidRDefault="0055205C" w:rsidP="00D74823">
      <w:pPr>
        <w:pStyle w:val="Heading4"/>
        <w:numPr>
          <w:ilvl w:val="3"/>
          <w:numId w:val="10"/>
        </w:numPr>
      </w:pPr>
      <w:bookmarkStart w:id="464" w:name="_Ref69141727"/>
      <w:r w:rsidRPr="00510AD0">
        <w:t xml:space="preserve">neither Seller nor </w:t>
      </w:r>
      <w:r w:rsidR="0034232C" w:rsidRPr="00510AD0">
        <w:t xml:space="preserve">to its knowledge </w:t>
      </w:r>
      <w:r w:rsidRPr="00510AD0">
        <w:t>the Project Company is in default under the Seller Supply Agreement.</w:t>
      </w:r>
      <w:bookmarkEnd w:id="457"/>
      <w:bookmarkEnd w:id="464"/>
    </w:p>
    <w:p w14:paraId="3ED4DF94" w14:textId="77777777" w:rsidR="0055205C" w:rsidRPr="00510AD0" w:rsidRDefault="0055205C" w:rsidP="0017021E">
      <w:pPr>
        <w:pStyle w:val="Heading2"/>
        <w:rPr>
          <w:vanish/>
          <w:specVanish/>
        </w:rPr>
      </w:pPr>
      <w:bookmarkStart w:id="465" w:name="_Ref69141728"/>
      <w:bookmarkStart w:id="466" w:name="_Toc70208417"/>
      <w:bookmarkStart w:id="467" w:name="_Toc81215067"/>
      <w:bookmarkStart w:id="468" w:name="_Toc78477836"/>
      <w:bookmarkStart w:id="469" w:name="_Toc99035875"/>
      <w:bookmarkEnd w:id="463"/>
      <w:r w:rsidRPr="00510AD0">
        <w:t>General Covenants</w:t>
      </w:r>
      <w:bookmarkStart w:id="470" w:name="_Hlk43997163"/>
      <w:bookmarkEnd w:id="465"/>
      <w:bookmarkEnd w:id="466"/>
      <w:bookmarkEnd w:id="467"/>
      <w:bookmarkEnd w:id="468"/>
      <w:bookmarkEnd w:id="469"/>
    </w:p>
    <w:p w14:paraId="0791FACC" w14:textId="77777777" w:rsidR="0055205C" w:rsidRPr="00510AD0" w:rsidRDefault="0055205C" w:rsidP="00727F6E">
      <w:pPr>
        <w:pStyle w:val="Heading2Continued"/>
      </w:pPr>
      <w:r w:rsidRPr="00510AD0">
        <w:t xml:space="preserve">.  Each Party covenants throughout the Term </w:t>
      </w:r>
      <w:bookmarkStart w:id="471" w:name="_Hlk1127375"/>
      <w:r w:rsidRPr="00510AD0">
        <w:t>of this Agreement as follows:</w:t>
      </w:r>
      <w:bookmarkEnd w:id="471"/>
    </w:p>
    <w:p w14:paraId="064F2946" w14:textId="77777777" w:rsidR="0055205C" w:rsidRPr="00510AD0" w:rsidRDefault="0055205C" w:rsidP="00D74823">
      <w:pPr>
        <w:pStyle w:val="Heading3"/>
      </w:pPr>
      <w:bookmarkStart w:id="472" w:name="_Ref69141729"/>
      <w:bookmarkEnd w:id="470"/>
      <w:r w:rsidRPr="00510AD0">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bookmarkEnd w:id="472"/>
    </w:p>
    <w:p w14:paraId="25EF08A5" w14:textId="77777777" w:rsidR="0055205C" w:rsidRPr="00510AD0" w:rsidRDefault="0055205C" w:rsidP="00D74823">
      <w:pPr>
        <w:pStyle w:val="Heading3"/>
      </w:pPr>
      <w:bookmarkStart w:id="473" w:name="_Ref69141730"/>
      <w:r w:rsidRPr="00510AD0">
        <w:lastRenderedPageBreak/>
        <w:t>it shall maintain (or obtain from time to time as required, including through renewal, as applicable) all Governmental Approvals necessary for it to legally perform its obligations under this Agreement; and</w:t>
      </w:r>
      <w:bookmarkEnd w:id="473"/>
    </w:p>
    <w:p w14:paraId="5E2B6DD8" w14:textId="77777777" w:rsidR="0055205C" w:rsidRPr="00510AD0" w:rsidRDefault="0055205C" w:rsidP="00D74823">
      <w:pPr>
        <w:pStyle w:val="Heading3"/>
      </w:pPr>
      <w:bookmarkStart w:id="474" w:name="_Ref69141731"/>
      <w:r w:rsidRPr="00510AD0">
        <w:t>it shall perform its obligations under this Agreement in a manner that does not violate any of the terms and conditions in its governing documents, any contracts to which it is a party or any Law applicable to it.</w:t>
      </w:r>
      <w:bookmarkEnd w:id="474"/>
    </w:p>
    <w:p w14:paraId="4321D162" w14:textId="77777777" w:rsidR="0055205C" w:rsidRPr="00510AD0" w:rsidRDefault="0055205C" w:rsidP="0017021E">
      <w:pPr>
        <w:pStyle w:val="Heading2"/>
        <w:rPr>
          <w:vanish/>
          <w:specVanish/>
        </w:rPr>
      </w:pPr>
      <w:bookmarkStart w:id="475" w:name="_Ref69141732"/>
      <w:bookmarkStart w:id="476" w:name="_Toc70208418"/>
      <w:bookmarkStart w:id="477" w:name="_Toc81215068"/>
      <w:bookmarkStart w:id="478" w:name="_Toc78477837"/>
      <w:bookmarkStart w:id="479" w:name="_Toc99035876"/>
      <w:r w:rsidRPr="00510AD0">
        <w:t>Covenants of Seller</w:t>
      </w:r>
      <w:bookmarkEnd w:id="475"/>
      <w:bookmarkEnd w:id="476"/>
      <w:bookmarkEnd w:id="477"/>
      <w:bookmarkEnd w:id="478"/>
      <w:bookmarkEnd w:id="479"/>
    </w:p>
    <w:p w14:paraId="036A753F" w14:textId="17D15176" w:rsidR="0055205C" w:rsidRPr="00510AD0" w:rsidRDefault="0055205C" w:rsidP="00727F6E">
      <w:pPr>
        <w:pStyle w:val="Heading2Continued"/>
      </w:pPr>
      <w:r w:rsidRPr="00510AD0">
        <w:t>.  Seller covenants to and for the benefit of Buyer that throughout the Delivery Term (unless another time period is specified):</w:t>
      </w:r>
    </w:p>
    <w:p w14:paraId="2620A0CB" w14:textId="77777777" w:rsidR="0055205C" w:rsidRPr="00510AD0" w:rsidRDefault="0055205C" w:rsidP="00D74823">
      <w:pPr>
        <w:pStyle w:val="Heading3"/>
      </w:pPr>
      <w:bookmarkStart w:id="480" w:name="_Ref69141733"/>
      <w:r w:rsidRPr="00510AD0">
        <w:t>it will deliver the Product to Buyer free and clear of all liens, security interests, claims and encumbrances or any interest therein or thereto by any Person;</w:t>
      </w:r>
      <w:bookmarkEnd w:id="480"/>
    </w:p>
    <w:p w14:paraId="4CC55A58" w14:textId="77777777" w:rsidR="0055205C" w:rsidRPr="00510AD0" w:rsidRDefault="0055205C" w:rsidP="00D74823">
      <w:pPr>
        <w:pStyle w:val="Heading3"/>
      </w:pPr>
      <w:bookmarkStart w:id="481" w:name="_Ref69141734"/>
      <w:r w:rsidRPr="00510AD0">
        <w:t>it will take no action or permit any Person (other than Buyer) to take any action that would impair in any way Buyer’s ability to rely on the Project in order to satisfy its Compliance Obligations;</w:t>
      </w:r>
      <w:bookmarkEnd w:id="481"/>
    </w:p>
    <w:p w14:paraId="4A27D090" w14:textId="23A85628" w:rsidR="0055205C" w:rsidRPr="00510AD0" w:rsidRDefault="000618F2" w:rsidP="00D74823">
      <w:pPr>
        <w:pStyle w:val="Heading3"/>
      </w:pPr>
      <w:bookmarkStart w:id="482" w:name="_Ref69141735"/>
      <w:r w:rsidRPr="00510AD0">
        <w:t>subject to Section</w:t>
      </w:r>
      <w:r w:rsidR="00567ECB" w:rsidRPr="00510AD0">
        <w:t xml:space="preserve"> 14.4</w:t>
      </w:r>
      <w:r w:rsidRPr="00510AD0">
        <w:t xml:space="preserve">  </w:t>
      </w:r>
      <w:r w:rsidR="0055205C" w:rsidRPr="00510AD0">
        <w:t>it shall cause the Project to be operated during the Delivery Term in accordance with Appendix II and Safety Requirements;</w:t>
      </w:r>
      <w:bookmarkEnd w:id="482"/>
    </w:p>
    <w:p w14:paraId="7479020B" w14:textId="1B8D7339" w:rsidR="0055205C" w:rsidRPr="00510AD0" w:rsidRDefault="0055205C" w:rsidP="00D74823">
      <w:pPr>
        <w:pStyle w:val="Heading3"/>
      </w:pPr>
      <w:bookmarkStart w:id="483" w:name="_Ref69141736"/>
      <w:r w:rsidRPr="00510AD0">
        <w:t xml:space="preserve">it shall comply, and shall cause the Project Company to comply, with all Utility Distribution Company, Participating Transmission Owner, and CAISO Tariff requirements applicable </w:t>
      </w:r>
      <w:bookmarkStart w:id="484" w:name="_Hlk33651925"/>
      <w:r w:rsidRPr="00510AD0">
        <w:t>to the Project;</w:t>
      </w:r>
      <w:bookmarkEnd w:id="483"/>
      <w:bookmarkEnd w:id="484"/>
    </w:p>
    <w:p w14:paraId="1C8A1E96" w14:textId="2D32BA25" w:rsidR="0055205C" w:rsidRPr="00510AD0" w:rsidRDefault="0055205C" w:rsidP="00D74823">
      <w:pPr>
        <w:pStyle w:val="Heading3"/>
        <w:numPr>
          <w:ilvl w:val="2"/>
          <w:numId w:val="10"/>
        </w:numPr>
      </w:pPr>
      <w:bookmarkStart w:id="485" w:name="_Hlk64985539"/>
      <w:r w:rsidRPr="00510AD0">
        <w:t xml:space="preserve">it shall maintain, and </w:t>
      </w:r>
      <w:r w:rsidR="000618F2" w:rsidRPr="00510AD0">
        <w:t>subject to Section</w:t>
      </w:r>
      <w:r w:rsidR="00567ECB" w:rsidRPr="00510AD0">
        <w:t xml:space="preserve"> 14.4</w:t>
      </w:r>
      <w:r w:rsidR="000618F2" w:rsidRPr="00510AD0">
        <w:t xml:space="preserve"> </w:t>
      </w:r>
      <w:r w:rsidRPr="00510AD0">
        <w:t>shall cause the Project Company to maintain, all Governmental Approvals necessary for Seller and Project Company to be able to perform their respective obligations under the Seller Supply Agreement;</w:t>
      </w:r>
    </w:p>
    <w:p w14:paraId="64DD66F5" w14:textId="5D53E957" w:rsidR="0055205C" w:rsidRPr="00510AD0" w:rsidRDefault="0055205C" w:rsidP="00D74823">
      <w:pPr>
        <w:pStyle w:val="Heading3"/>
      </w:pPr>
      <w:r w:rsidRPr="00510AD0">
        <w:t xml:space="preserve">it shall </w:t>
      </w:r>
      <w:bookmarkStart w:id="486" w:name="DocXTextRef128"/>
      <w:r w:rsidRPr="00510AD0">
        <w:t>(</w:t>
      </w:r>
      <w:r w:rsidR="003F39A8" w:rsidRPr="00510AD0">
        <w:t>1</w:t>
      </w:r>
      <w:r w:rsidRPr="00510AD0">
        <w:t>)</w:t>
      </w:r>
      <w:bookmarkEnd w:id="486"/>
      <w:r w:rsidRPr="00510AD0">
        <w:t xml:space="preserve"> maintain the Seller Supply Agreement in full force and effect, not breach or be in default thereunder in any material respect, and not amend, modify, supplement or otherwise vary the Seller Supply Agreement, or consent to any of the foregoing, if such amendment, modification, supplement or other variance results, or is reasonably like to result, in Seller’s or Project’s inability to deliver Product to Buyer on the terms and conditions set forth herein and (</w:t>
      </w:r>
      <w:r w:rsidR="003F39A8" w:rsidRPr="00510AD0">
        <w:t>2</w:t>
      </w:r>
      <w:r w:rsidRPr="00510AD0">
        <w:t xml:space="preserve">) Notify Buyer promptly (and in no event later than two (2) Business Days after such event) of the termination or default under the Seller Supply Agreement or </w:t>
      </w:r>
      <w:r w:rsidR="000618F2" w:rsidRPr="00510AD0">
        <w:t>any amendment of the type described in clause (i) abov</w:t>
      </w:r>
      <w:r w:rsidR="001D0EE2" w:rsidRPr="00510AD0">
        <w:t>e;</w:t>
      </w:r>
      <w:bookmarkEnd w:id="485"/>
      <w:r w:rsidRPr="00510AD0">
        <w:t xml:space="preserve"> </w:t>
      </w:r>
    </w:p>
    <w:p w14:paraId="1CC3B4A6" w14:textId="21BF139E" w:rsidR="0055205C" w:rsidRPr="00510AD0" w:rsidRDefault="0055205C" w:rsidP="00D74823">
      <w:pPr>
        <w:pStyle w:val="Heading3"/>
      </w:pPr>
      <w:bookmarkStart w:id="487" w:name="_Hlk25739478"/>
      <w:bookmarkStart w:id="488" w:name="_Ref69141738"/>
      <w:r w:rsidRPr="00510AD0">
        <w:t>it shall provide</w:t>
      </w:r>
      <w:r w:rsidR="00A22BB0" w:rsidRPr="00510AD0">
        <w:t xml:space="preserve"> all Capacity Attributes of the </w:t>
      </w:r>
      <w:r w:rsidRPr="00510AD0">
        <w:t xml:space="preserve">Product that count towards Buyer’s local resource adequacy central procurement requirement established by the CPUC Decision, including without limitation, the </w:t>
      </w:r>
      <w:r w:rsidR="008D3BA7" w:rsidRPr="00510AD0">
        <w:t>Local RA Central Procurement Decisions</w:t>
      </w:r>
      <w:r w:rsidRPr="00510AD0">
        <w:t>. To the extent a change in Law occurs after execution of this Agreement that causes Seller to fail to perform this covenant, it shall not be an Event of Default if Seller has used commercially reasonable efforts to comply with such change in Law</w:t>
      </w:r>
      <w:bookmarkEnd w:id="487"/>
      <w:r w:rsidRPr="00510AD0">
        <w:t>; and</w:t>
      </w:r>
      <w:bookmarkEnd w:id="488"/>
    </w:p>
    <w:p w14:paraId="1AF61082" w14:textId="33BB16E9" w:rsidR="0055205C" w:rsidRPr="00510AD0" w:rsidRDefault="00AC23B3" w:rsidP="00D74823">
      <w:pPr>
        <w:pStyle w:val="Heading3"/>
      </w:pPr>
      <w:bookmarkStart w:id="489" w:name="_Ref69141739"/>
      <w:r w:rsidRPr="00510AD0">
        <w:lastRenderedPageBreak/>
        <w:t>[</w:t>
      </w:r>
      <w:r w:rsidR="0055205C" w:rsidRPr="00510AD0">
        <w:t xml:space="preserve">it shall comply with the Project specific requirements set forth in Part </w:t>
      </w:r>
      <w:bookmarkStart w:id="490" w:name="DocXTextRef129"/>
      <w:r w:rsidR="0055205C" w:rsidRPr="00510AD0">
        <w:t>4</w:t>
      </w:r>
      <w:bookmarkEnd w:id="490"/>
      <w:r w:rsidR="0055205C" w:rsidRPr="00510AD0">
        <w:t xml:space="preserve"> of </w:t>
      </w:r>
      <w:r w:rsidR="0055205C" w:rsidRPr="00510AD0">
        <w:rPr>
          <w:u w:val="single"/>
        </w:rPr>
        <w:t>Appendix XIV</w:t>
      </w:r>
      <w:r w:rsidR="0055205C" w:rsidRPr="00510AD0">
        <w:t>.</w:t>
      </w:r>
      <w:bookmarkEnd w:id="489"/>
      <w:r w:rsidRPr="00510AD0">
        <w:t>]</w:t>
      </w:r>
      <w:r w:rsidR="006E66CD" w:rsidRPr="00510AD0">
        <w:rPr>
          <w:rStyle w:val="FootnoteReference"/>
        </w:rPr>
        <w:footnoteReference w:id="32"/>
      </w:r>
      <w:r w:rsidR="0055205C" w:rsidRPr="00510AD0">
        <w:t xml:space="preserve">   </w:t>
      </w:r>
    </w:p>
    <w:p w14:paraId="74558AB5" w14:textId="77777777" w:rsidR="00CF3BD3" w:rsidRPr="00510AD0" w:rsidRDefault="00D97C20" w:rsidP="00CF3BD3">
      <w:pPr>
        <w:pStyle w:val="Heading2"/>
        <w:numPr>
          <w:ilvl w:val="1"/>
          <w:numId w:val="10"/>
        </w:numPr>
        <w:rPr>
          <w:vanish/>
          <w:specVanish/>
        </w:rPr>
      </w:pPr>
      <w:bookmarkStart w:id="491" w:name="_Ref77805587"/>
      <w:bookmarkStart w:id="492" w:name="_Toc78477838"/>
      <w:bookmarkStart w:id="493" w:name="_Toc99035877"/>
      <w:r w:rsidRPr="00510AD0">
        <w:t xml:space="preserve">Limitation on Seller </w:t>
      </w:r>
      <w:r w:rsidR="00CF3BD3" w:rsidRPr="00510AD0">
        <w:t>Covenants</w:t>
      </w:r>
      <w:bookmarkEnd w:id="491"/>
      <w:bookmarkEnd w:id="492"/>
      <w:bookmarkEnd w:id="493"/>
    </w:p>
    <w:p w14:paraId="10B74242" w14:textId="34B46D3F" w:rsidR="00CF3BD3" w:rsidRPr="00510AD0" w:rsidRDefault="00CF3BD3" w:rsidP="00CF3BD3">
      <w:pPr>
        <w:pStyle w:val="Heading2Continued"/>
      </w:pPr>
      <w:r w:rsidRPr="00510AD0">
        <w:t xml:space="preserve">.  </w:t>
      </w:r>
      <w:r w:rsidR="00D97C20" w:rsidRPr="00510AD0">
        <w:t xml:space="preserve">To the extent any of the covenants expressly made subject to this </w:t>
      </w:r>
      <w:r w:rsidR="00D97C20" w:rsidRPr="00510AD0">
        <w:rPr>
          <w:u w:val="single"/>
        </w:rPr>
        <w:t xml:space="preserve">Section </w:t>
      </w:r>
      <w:r w:rsidR="008012E9" w:rsidRPr="00510AD0">
        <w:rPr>
          <w:u w:val="single"/>
        </w:rPr>
        <w:fldChar w:fldCharType="begin"/>
      </w:r>
      <w:r w:rsidR="008012E9" w:rsidRPr="00510AD0">
        <w:rPr>
          <w:u w:val="single"/>
        </w:rPr>
        <w:instrText xml:space="preserve"> REF _Ref77805587 \w \h </w:instrText>
      </w:r>
      <w:r w:rsidR="00510AD0">
        <w:rPr>
          <w:u w:val="single"/>
        </w:rPr>
        <w:instrText xml:space="preserve"> \* MERGEFORMAT </w:instrText>
      </w:r>
      <w:r w:rsidR="008012E9" w:rsidRPr="00510AD0">
        <w:rPr>
          <w:u w:val="single"/>
        </w:rPr>
      </w:r>
      <w:r w:rsidR="008012E9" w:rsidRPr="00510AD0">
        <w:rPr>
          <w:u w:val="single"/>
        </w:rPr>
        <w:fldChar w:fldCharType="separate"/>
      </w:r>
      <w:r w:rsidR="008012E9" w:rsidRPr="00510AD0">
        <w:rPr>
          <w:u w:val="single"/>
        </w:rPr>
        <w:t>14.4</w:t>
      </w:r>
      <w:r w:rsidR="008012E9" w:rsidRPr="00510AD0">
        <w:rPr>
          <w:u w:val="single"/>
        </w:rPr>
        <w:fldChar w:fldCharType="end"/>
      </w:r>
      <w:r w:rsidR="00D97C20" w:rsidRPr="00510AD0">
        <w:t xml:space="preserve"> obligate Seller to take any actions or to provide any information with respect to the Project, or to cause the Project</w:t>
      </w:r>
      <w:r w:rsidR="008012E9" w:rsidRPr="00510AD0">
        <w:t xml:space="preserve"> Company </w:t>
      </w:r>
      <w:r w:rsidR="00D97C20" w:rsidRPr="00510AD0">
        <w:t>or the Project’s Scheduling Coordinator to take any actions or to provide any information,</w:t>
      </w:r>
      <w:r w:rsidR="008012E9" w:rsidRPr="00510AD0">
        <w:t xml:space="preserve"> Seller </w:t>
      </w:r>
      <w:r w:rsidR="00D97C20" w:rsidRPr="00510AD0">
        <w:t xml:space="preserve">shall only be obligated to the extent it has the right to take such actions, it has or has the right to obtain such information, or it has the right to cause or request the Project </w:t>
      </w:r>
      <w:r w:rsidR="008012E9" w:rsidRPr="00510AD0">
        <w:t xml:space="preserve">Company </w:t>
      </w:r>
      <w:r w:rsidR="00D97C20" w:rsidRPr="00510AD0">
        <w:t xml:space="preserve">or the Project’s Scheduling Coordinator to take such actions or provide such information pursuant to the terms of the </w:t>
      </w:r>
      <w:r w:rsidR="008012E9" w:rsidRPr="00510AD0">
        <w:t xml:space="preserve">Seller </w:t>
      </w:r>
      <w:r w:rsidR="00D97C20" w:rsidRPr="00510AD0">
        <w:t xml:space="preserve">Supply Agreement. To the extent </w:t>
      </w:r>
      <w:r w:rsidR="008012E9" w:rsidRPr="00510AD0">
        <w:t xml:space="preserve">Seller </w:t>
      </w:r>
      <w:r w:rsidR="00D97C20" w:rsidRPr="00510AD0">
        <w:t xml:space="preserve">does not have such rights under the </w:t>
      </w:r>
      <w:r w:rsidR="008012E9" w:rsidRPr="00510AD0">
        <w:t xml:space="preserve">Seller </w:t>
      </w:r>
      <w:r w:rsidR="00D97C20" w:rsidRPr="00510AD0">
        <w:t xml:space="preserve">Supply Agreement, then it shall, upon Buyer’s reasonable request use </w:t>
      </w:r>
      <w:r w:rsidR="000618F2" w:rsidRPr="00510AD0">
        <w:t xml:space="preserve">its best efforts </w:t>
      </w:r>
      <w:r w:rsidR="00D97C20" w:rsidRPr="00510AD0">
        <w:t xml:space="preserve">to obtain such information or </w:t>
      </w:r>
      <w:r w:rsidR="00447A1B" w:rsidRPr="00510AD0">
        <w:t xml:space="preserve">to </w:t>
      </w:r>
      <w:r w:rsidR="00D97C20" w:rsidRPr="00510AD0">
        <w:t xml:space="preserve">request </w:t>
      </w:r>
      <w:r w:rsidR="00447A1B" w:rsidRPr="00510AD0">
        <w:t xml:space="preserve">or cause </w:t>
      </w:r>
      <w:r w:rsidR="00D97C20" w:rsidRPr="00510AD0">
        <w:t xml:space="preserve">the Project </w:t>
      </w:r>
      <w:r w:rsidR="008012E9" w:rsidRPr="00510AD0">
        <w:t xml:space="preserve">Company </w:t>
      </w:r>
      <w:r w:rsidR="00D97C20" w:rsidRPr="00510AD0">
        <w:t xml:space="preserve">or Project’s Scheduling Coordinator </w:t>
      </w:r>
      <w:r w:rsidR="00447A1B" w:rsidRPr="00510AD0">
        <w:t xml:space="preserve">to </w:t>
      </w:r>
      <w:r w:rsidR="00D97C20" w:rsidRPr="00510AD0">
        <w:t xml:space="preserve">provide such information or take such actions to enable </w:t>
      </w:r>
      <w:r w:rsidR="008012E9" w:rsidRPr="00510AD0">
        <w:t xml:space="preserve">Seller </w:t>
      </w:r>
      <w:r w:rsidR="00D97C20" w:rsidRPr="00510AD0">
        <w:t xml:space="preserve">to comply with the covenants </w:t>
      </w:r>
      <w:r w:rsidR="008012E9" w:rsidRPr="00510AD0">
        <w:t xml:space="preserve">expressly made subject to this </w:t>
      </w:r>
      <w:r w:rsidR="008012E9" w:rsidRPr="00510AD0">
        <w:rPr>
          <w:u w:val="single"/>
        </w:rPr>
        <w:t xml:space="preserve">Section </w:t>
      </w:r>
      <w:r w:rsidR="008012E9" w:rsidRPr="00510AD0">
        <w:rPr>
          <w:u w:val="single"/>
        </w:rPr>
        <w:fldChar w:fldCharType="begin"/>
      </w:r>
      <w:r w:rsidR="008012E9" w:rsidRPr="00510AD0">
        <w:rPr>
          <w:u w:val="single"/>
        </w:rPr>
        <w:instrText xml:space="preserve"> REF _Ref77805587 \w \h </w:instrText>
      </w:r>
      <w:r w:rsidR="00510AD0">
        <w:rPr>
          <w:u w:val="single"/>
        </w:rPr>
        <w:instrText xml:space="preserve"> \* MERGEFORMAT </w:instrText>
      </w:r>
      <w:r w:rsidR="008012E9" w:rsidRPr="00510AD0">
        <w:rPr>
          <w:u w:val="single"/>
        </w:rPr>
      </w:r>
      <w:r w:rsidR="008012E9" w:rsidRPr="00510AD0">
        <w:rPr>
          <w:u w:val="single"/>
        </w:rPr>
        <w:fldChar w:fldCharType="separate"/>
      </w:r>
      <w:r w:rsidR="008012E9" w:rsidRPr="00510AD0">
        <w:rPr>
          <w:u w:val="single"/>
        </w:rPr>
        <w:t>14.4</w:t>
      </w:r>
      <w:r w:rsidR="008012E9" w:rsidRPr="00510AD0">
        <w:rPr>
          <w:u w:val="single"/>
        </w:rPr>
        <w:fldChar w:fldCharType="end"/>
      </w:r>
      <w:r w:rsidR="00D97C20" w:rsidRPr="00510AD0">
        <w:t>.</w:t>
      </w:r>
      <w:r w:rsidRPr="00510AD0">
        <w:t xml:space="preserve"> </w:t>
      </w:r>
    </w:p>
    <w:p w14:paraId="6CE41AA6" w14:textId="77777777" w:rsidR="0055205C" w:rsidRPr="00510AD0" w:rsidRDefault="0055205C" w:rsidP="00B458B6">
      <w:pPr>
        <w:pStyle w:val="Heading1"/>
      </w:pPr>
      <w:bookmarkStart w:id="494" w:name="_Toc70208419"/>
      <w:bookmarkStart w:id="495" w:name="_Toc81215069"/>
      <w:bookmarkStart w:id="496" w:name="_Toc78477839"/>
      <w:bookmarkStart w:id="497" w:name="_Toc99035878"/>
      <w:r w:rsidRPr="00510AD0">
        <w:br/>
      </w:r>
      <w:bookmarkStart w:id="498" w:name="_Ref69141740"/>
      <w:r w:rsidRPr="00510AD0">
        <w:t>INDEMNITIES AND INSURANCE</w:t>
      </w:r>
      <w:bookmarkEnd w:id="494"/>
      <w:bookmarkEnd w:id="495"/>
      <w:bookmarkEnd w:id="496"/>
      <w:bookmarkEnd w:id="497"/>
      <w:bookmarkEnd w:id="498"/>
    </w:p>
    <w:p w14:paraId="05DF40D4" w14:textId="77777777" w:rsidR="0055205C" w:rsidRPr="00510AD0" w:rsidRDefault="0055205C" w:rsidP="0017021E">
      <w:pPr>
        <w:pStyle w:val="Heading2"/>
        <w:rPr>
          <w:vanish/>
          <w:specVanish/>
        </w:rPr>
      </w:pPr>
      <w:bookmarkStart w:id="499" w:name="_Ref69141741"/>
      <w:bookmarkStart w:id="500" w:name="_Toc70208420"/>
      <w:bookmarkStart w:id="501" w:name="_Toc81215070"/>
      <w:bookmarkStart w:id="502" w:name="_Toc78477840"/>
      <w:bookmarkStart w:id="503" w:name="_Toc99035879"/>
      <w:r w:rsidRPr="00510AD0">
        <w:t>Indemnity by Seller</w:t>
      </w:r>
      <w:bookmarkEnd w:id="499"/>
      <w:bookmarkEnd w:id="500"/>
      <w:bookmarkEnd w:id="501"/>
      <w:bookmarkEnd w:id="502"/>
      <w:bookmarkEnd w:id="503"/>
    </w:p>
    <w:p w14:paraId="60C6B57E" w14:textId="77777777" w:rsidR="0055205C" w:rsidRPr="00510AD0" w:rsidRDefault="0055205C" w:rsidP="00727F6E">
      <w:pPr>
        <w:pStyle w:val="Heading2Continued"/>
      </w:pPr>
      <w:r w:rsidRPr="00510AD0">
        <w:t xml:space="preserve">.  </w:t>
      </w:r>
    </w:p>
    <w:p w14:paraId="422D909E" w14:textId="199C8CC0" w:rsidR="0055205C" w:rsidRPr="00510AD0" w:rsidRDefault="0071606E" w:rsidP="00D74823">
      <w:pPr>
        <w:pStyle w:val="Heading3"/>
      </w:pPr>
      <w:bookmarkStart w:id="504" w:name="_Ref69141742"/>
      <w:r w:rsidRPr="00510AD0">
        <w:t>[</w:t>
      </w:r>
      <w:r w:rsidR="0055205C" w:rsidRPr="00510AD0">
        <w:t xml:space="preserve">Seller shall release, defend, indemnify and hold harmless Buyer, its directors, officers, agents, attorneys, representatives and Affiliates (“Buyer Group”) against and from any Indemnifiable Losses, which arise out of or relate to or are in any way connected with </w:t>
      </w:r>
      <w:bookmarkStart w:id="505" w:name="DocXTextRef130"/>
      <w:r w:rsidR="0055205C" w:rsidRPr="00510AD0">
        <w:t>(i)</w:t>
      </w:r>
      <w:bookmarkEnd w:id="505"/>
      <w:r w:rsidR="0055205C" w:rsidRPr="00510AD0">
        <w:t xml:space="preserve"> the Seller’s delivery of the Product to Buyer, (ii) Seller’s or its Affiliates or Project Company’s or its Affiliate’s, as applicable, ownership, development, construction, operation and/or maintenance of the Project (and if Behind the Meter Project, Unit(s) or Seller’s Portfolio) or Site(s); (iii) Third Party Claims arising from Seller’s, Project Company’s</w:t>
      </w:r>
      <w:r w:rsidR="009D3C73" w:rsidRPr="00510AD0">
        <w:t xml:space="preserve"> </w:t>
      </w:r>
      <w:r w:rsidR="0055205C" w:rsidRPr="00510AD0">
        <w:t>or their respective</w:t>
      </w:r>
      <w:r w:rsidR="009D3C73" w:rsidRPr="00510AD0">
        <w:t xml:space="preserve"> </w:t>
      </w:r>
      <w:r w:rsidR="0055205C" w:rsidRPr="00510AD0">
        <w:t>Affiliates’ actions or inactions, including Seller’s breach of this Agreement, Seller’s or Project Company’s breach of the Seller Supply Agreement or other agreements related to the development, construction, ownership, operation or maintenance of the Project (and if Behind the Meter Project, Unit(s) or Seller’s Portfolio) or Site(s); (iv) any environmental matters associated with the Project, including the disposal and transportation of Hazardous Substances by or on behalf of the Seller, the Project Company</w:t>
      </w:r>
      <w:r w:rsidR="009D3C73" w:rsidRPr="00510AD0">
        <w:t xml:space="preserve"> </w:t>
      </w:r>
      <w:r w:rsidR="0055205C" w:rsidRPr="00510AD0">
        <w:t xml:space="preserve">or at the Seller’s or Project Company’s direction or agreement; </w:t>
      </w:r>
      <w:bookmarkStart w:id="506" w:name="DocXTextRef131"/>
      <w:r w:rsidR="0055205C" w:rsidRPr="00510AD0">
        <w:t>(v)</w:t>
      </w:r>
      <w:bookmarkEnd w:id="506"/>
      <w:r w:rsidR="0055205C" w:rsidRPr="00510AD0">
        <w:t xml:space="preserve"> Third Party Claims arising under any agreement between Seller, the Project Company or</w:t>
      </w:r>
      <w:r w:rsidR="001D0EE2" w:rsidRPr="00510AD0">
        <w:t xml:space="preserve"> t</w:t>
      </w:r>
      <w:r w:rsidR="0055205C" w:rsidRPr="00510AD0">
        <w:t>heir respective</w:t>
      </w:r>
      <w:r w:rsidR="00D264DB" w:rsidRPr="00510AD0">
        <w:t xml:space="preserve"> </w:t>
      </w:r>
      <w:r w:rsidR="0055205C" w:rsidRPr="00510AD0">
        <w:t>Affiliates (and if Behind the Meter Project, and a Customer in Seller’s Portfolio); or (vi) resulting from Seller’s, the Project Company’s or</w:t>
      </w:r>
      <w:r w:rsidR="001D0EE2" w:rsidRPr="00510AD0">
        <w:t xml:space="preserve"> </w:t>
      </w:r>
      <w:r w:rsidR="0055205C" w:rsidRPr="00510AD0">
        <w:t>their respective</w:t>
      </w:r>
      <w:r w:rsidR="00D264DB" w:rsidRPr="00510AD0">
        <w:t xml:space="preserve"> </w:t>
      </w:r>
      <w:r w:rsidR="0055205C" w:rsidRPr="00510AD0">
        <w:t>Affiliates’ violation of any applicable Law, or requirements of Transmission Provider, Utility Distribution Company, NERC, WECC or Reliability Organization; in each case including any loss, claim, action or suit, for or on account of injury to, bodily or otherwise, or death of, persons, or for damage to or destruction or economic loss of property belonging to Buyer, Seller, Project Company (and if Behind the Meter Project, Customers) or their respective Affiliates, or others, excepting only such Indemnifiable Losses, to the extent solely caused by the willful misconduct or gross negligence of a member of the Buyer Group.</w:t>
      </w:r>
      <w:bookmarkEnd w:id="504"/>
    </w:p>
    <w:p w14:paraId="6911E22D" w14:textId="46E646C6" w:rsidR="0055205C" w:rsidRPr="00510AD0" w:rsidRDefault="0055205C" w:rsidP="00D74823">
      <w:pPr>
        <w:pStyle w:val="Heading3"/>
      </w:pPr>
      <w:bookmarkStart w:id="507" w:name="_Ref69141743"/>
      <w:r w:rsidRPr="00510AD0">
        <w:lastRenderedPageBreak/>
        <w:t>Seller shall indemnify, defend and hold the Buyer Group harmless from and against all liabilities, damages, claims, losses, costs or expenses (including, without limitation, attorneys' fees) incurred by or brought against Buyer in connection with Environmental Costs.</w:t>
      </w:r>
      <w:bookmarkEnd w:id="507"/>
      <w:r w:rsidR="0071606E" w:rsidRPr="00510AD0">
        <w:t>]</w:t>
      </w:r>
      <w:r w:rsidR="0071606E" w:rsidRPr="00510AD0">
        <w:rPr>
          <w:rStyle w:val="FootnoteReference"/>
        </w:rPr>
        <w:footnoteReference w:id="33"/>
      </w:r>
    </w:p>
    <w:p w14:paraId="6E1EBDF3" w14:textId="77777777" w:rsidR="0055205C" w:rsidRPr="00510AD0" w:rsidRDefault="0055205C" w:rsidP="0017021E">
      <w:pPr>
        <w:pStyle w:val="Heading2"/>
        <w:rPr>
          <w:vanish/>
          <w:specVanish/>
        </w:rPr>
      </w:pPr>
      <w:bookmarkStart w:id="508" w:name="_Ref69141744"/>
      <w:bookmarkStart w:id="509" w:name="_Toc70208421"/>
      <w:bookmarkStart w:id="510" w:name="_Toc81215071"/>
      <w:bookmarkStart w:id="511" w:name="_Toc78477841"/>
      <w:bookmarkStart w:id="512" w:name="_Toc99035880"/>
      <w:r w:rsidRPr="00510AD0">
        <w:t>No Indemnity by Buyer</w:t>
      </w:r>
      <w:bookmarkEnd w:id="508"/>
      <w:bookmarkEnd w:id="509"/>
      <w:bookmarkEnd w:id="510"/>
      <w:bookmarkEnd w:id="511"/>
      <w:bookmarkEnd w:id="512"/>
    </w:p>
    <w:p w14:paraId="2C69F8CF" w14:textId="77777777" w:rsidR="0055205C" w:rsidRPr="00510AD0" w:rsidRDefault="0055205C" w:rsidP="00727F6E">
      <w:pPr>
        <w:pStyle w:val="Heading2Continued"/>
      </w:pPr>
      <w:r w:rsidRPr="00510AD0">
        <w:t>.  Buyer does not indemnify Seller.</w:t>
      </w:r>
    </w:p>
    <w:p w14:paraId="787AD578" w14:textId="77777777" w:rsidR="0055205C" w:rsidRPr="00510AD0" w:rsidRDefault="0055205C" w:rsidP="0017021E">
      <w:pPr>
        <w:pStyle w:val="Heading2"/>
        <w:rPr>
          <w:vanish/>
          <w:specVanish/>
        </w:rPr>
      </w:pPr>
      <w:bookmarkStart w:id="513" w:name="_Ref69141745"/>
      <w:bookmarkStart w:id="514" w:name="_Toc70208422"/>
      <w:bookmarkStart w:id="515" w:name="_Toc81215072"/>
      <w:bookmarkStart w:id="516" w:name="_Toc78477842"/>
      <w:bookmarkStart w:id="517" w:name="_Toc99035881"/>
      <w:r w:rsidRPr="00510AD0">
        <w:t>Notice of Claim</w:t>
      </w:r>
      <w:bookmarkEnd w:id="513"/>
      <w:bookmarkEnd w:id="514"/>
      <w:bookmarkEnd w:id="515"/>
      <w:bookmarkEnd w:id="516"/>
      <w:bookmarkEnd w:id="517"/>
    </w:p>
    <w:p w14:paraId="1B5C463F" w14:textId="77777777" w:rsidR="0055205C" w:rsidRPr="00510AD0" w:rsidRDefault="0055205C" w:rsidP="00727F6E">
      <w:pPr>
        <w:pStyle w:val="Heading2Continued"/>
      </w:pPr>
      <w:r w:rsidRPr="00510AD0">
        <w:t xml:space="preserve">.  </w:t>
      </w:r>
    </w:p>
    <w:p w14:paraId="3DFF96DC" w14:textId="02C30BCA" w:rsidR="0055205C" w:rsidRPr="00510AD0" w:rsidRDefault="0055205C" w:rsidP="00D74823">
      <w:pPr>
        <w:pStyle w:val="Heading3"/>
      </w:pPr>
      <w:bookmarkStart w:id="518" w:name="_Ref69141746"/>
      <w:r w:rsidRPr="00510AD0">
        <w:rPr>
          <w:u w:val="single"/>
        </w:rPr>
        <w:t>Notice of Claim</w:t>
      </w:r>
      <w:r w:rsidRPr="00510AD0">
        <w:t xml:space="preserve">.  Subject to the terms of this Agreement and upon obtaining knowledge of an Indemnifiable Loss for which it is entitled to indemnity under this Article Fifteen, the Buyer (the “Indemnitee”) will promptly Notify the Seller (the “Indemnitor”) in writing of any damage, claim, loss, liability or expense which the Indemnitee has determined has given or could give rise to an Indemnifiable Loss under Section </w:t>
      </w:r>
      <w:r w:rsidR="00286173" w:rsidRPr="00510AD0">
        <w:fldChar w:fldCharType="begin"/>
      </w:r>
      <w:r w:rsidR="00286173" w:rsidRPr="00510AD0">
        <w:instrText xml:space="preserve">  REF _Ref69141741 \w \h \* MERGEFORMAT </w:instrText>
      </w:r>
      <w:r w:rsidR="00286173" w:rsidRPr="00510AD0">
        <w:fldChar w:fldCharType="separate"/>
      </w:r>
      <w:r w:rsidR="007751F5" w:rsidRPr="00510AD0">
        <w:t>15.1</w:t>
      </w:r>
      <w:r w:rsidR="00286173" w:rsidRPr="00510AD0">
        <w:fldChar w:fldCharType="end"/>
      </w:r>
      <w:r w:rsidRPr="00510AD0">
        <w:t>.  (The Notice is referred to as a “Notice of Claim”).  A Notice of Claim will specify, in reasonable detail, the facts known to the Indemnitee regarding the Indemnifiable Loss.</w:t>
      </w:r>
      <w:bookmarkEnd w:id="518"/>
      <w:r w:rsidRPr="00510AD0">
        <w:t xml:space="preserve"> </w:t>
      </w:r>
    </w:p>
    <w:p w14:paraId="114B43B3" w14:textId="77777777" w:rsidR="0055205C" w:rsidRPr="00510AD0" w:rsidRDefault="0055205C" w:rsidP="00D74823">
      <w:pPr>
        <w:pStyle w:val="Heading3"/>
      </w:pPr>
      <w:bookmarkStart w:id="519" w:name="_Ref69141747"/>
      <w:r w:rsidRPr="00510AD0">
        <w:rPr>
          <w:u w:val="single"/>
        </w:rPr>
        <w:t>Notice of Third Party Claim</w:t>
      </w:r>
      <w:r w:rsidRPr="00510AD0">
        <w:t>.  If the Indemnitee receives Notice of the assertion or commencement of a Third Party Claim against it with respect to which the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bookmarkEnd w:id="519"/>
    </w:p>
    <w:p w14:paraId="0F70F256" w14:textId="77777777" w:rsidR="0055205C" w:rsidRPr="00510AD0" w:rsidRDefault="0055205C" w:rsidP="00D74823">
      <w:pPr>
        <w:pStyle w:val="Heading3"/>
      </w:pPr>
      <w:bookmarkStart w:id="520" w:name="_Ref69141748"/>
      <w:r w:rsidRPr="00510AD0">
        <w:rPr>
          <w:u w:val="single"/>
        </w:rPr>
        <w:t>Direct Claim</w:t>
      </w:r>
      <w:r w:rsidRPr="00510AD0">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bookmarkEnd w:id="520"/>
    </w:p>
    <w:p w14:paraId="7B0D8B94" w14:textId="76159D80" w:rsidR="0055205C" w:rsidRPr="00510AD0" w:rsidRDefault="0055205C" w:rsidP="00D74823">
      <w:pPr>
        <w:pStyle w:val="Heading3"/>
      </w:pPr>
      <w:bookmarkStart w:id="521" w:name="_Ref69141749"/>
      <w:r w:rsidRPr="00510AD0">
        <w:rPr>
          <w:u w:val="single"/>
        </w:rPr>
        <w:t>Failure to Provide Notice</w:t>
      </w:r>
      <w:r w:rsidRPr="00510AD0">
        <w:t xml:space="preserve">.  A failure to give timely Notice or to include any specified information in any Notice as provided in this Section </w:t>
      </w:r>
      <w:r w:rsidR="00286173" w:rsidRPr="00510AD0">
        <w:fldChar w:fldCharType="begin"/>
      </w:r>
      <w:r w:rsidR="00286173" w:rsidRPr="00510AD0">
        <w:instrText xml:space="preserve">  REF _Ref69141745 \w \h \* MERGEFORMAT </w:instrText>
      </w:r>
      <w:r w:rsidR="00286173" w:rsidRPr="00510AD0">
        <w:fldChar w:fldCharType="separate"/>
      </w:r>
      <w:r w:rsidR="007751F5" w:rsidRPr="00510AD0">
        <w:t>15.3</w:t>
      </w:r>
      <w:r w:rsidR="00286173" w:rsidRPr="00510AD0">
        <w:fldChar w:fldCharType="end"/>
      </w:r>
      <w:r w:rsidRPr="00510AD0">
        <w:t xml:space="preserve">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w:t>
      </w:r>
      <w:r w:rsidRPr="00510AD0">
        <w:lastRenderedPageBreak/>
        <w:t>direct result of such failure and, provided further, the Indemnitor is not obligated to indemnify the Indemnitee for the increased amount of any Indemnifiable Loss which would otherwise have been payable to the extent that the increase resulted from the failure to deliver timely a Notice of Claim.</w:t>
      </w:r>
      <w:bookmarkEnd w:id="521"/>
    </w:p>
    <w:p w14:paraId="51B0B1C3" w14:textId="77777777" w:rsidR="0055205C" w:rsidRPr="00510AD0" w:rsidRDefault="0055205C" w:rsidP="0017021E">
      <w:pPr>
        <w:pStyle w:val="Heading2"/>
        <w:rPr>
          <w:vanish/>
          <w:specVanish/>
        </w:rPr>
      </w:pPr>
      <w:bookmarkStart w:id="522" w:name="_Ref69141750"/>
      <w:bookmarkStart w:id="523" w:name="_Toc70208423"/>
      <w:bookmarkStart w:id="524" w:name="_Toc81215073"/>
      <w:bookmarkStart w:id="525" w:name="_Toc78477843"/>
      <w:bookmarkStart w:id="526" w:name="_Toc99035882"/>
      <w:r w:rsidRPr="00510AD0">
        <w:t>Defense of Third Party Claims</w:t>
      </w:r>
      <w:bookmarkEnd w:id="522"/>
      <w:bookmarkEnd w:id="523"/>
      <w:bookmarkEnd w:id="524"/>
      <w:bookmarkEnd w:id="525"/>
      <w:bookmarkEnd w:id="526"/>
    </w:p>
    <w:p w14:paraId="02A06F91" w14:textId="207F1DFE" w:rsidR="0055205C" w:rsidRPr="00510AD0" w:rsidRDefault="0055205C" w:rsidP="00727F6E">
      <w:pPr>
        <w:pStyle w:val="Heading2Continued"/>
      </w:pPr>
      <w:r w:rsidRPr="00510AD0">
        <w:t xml:space="preserve">.  If, within ten (10) days after giving a Notice of Claim regarding a Third Party Claim to the Indemnitor pursuant to Section </w:t>
      </w:r>
      <w:r w:rsidR="00286173" w:rsidRPr="00510AD0">
        <w:fldChar w:fldCharType="begin"/>
      </w:r>
      <w:r w:rsidR="00286173" w:rsidRPr="00510AD0">
        <w:instrText xml:space="preserve">  REF _Ref69141747 \w \h \* MERGEFORMAT </w:instrText>
      </w:r>
      <w:r w:rsidR="00286173" w:rsidRPr="00510AD0">
        <w:fldChar w:fldCharType="separate"/>
      </w:r>
      <w:r w:rsidR="007751F5" w:rsidRPr="00510AD0">
        <w:t>15.3(b)</w:t>
      </w:r>
      <w:r w:rsidR="00286173" w:rsidRPr="00510AD0">
        <w:fldChar w:fldCharType="end"/>
      </w:r>
      <w:r w:rsidRPr="00510AD0">
        <w:t xml:space="preserve">, the Indemnitee receives Notice from such Indemnitor that the Indemnitor has elected to assume the defense of such Third Party Claim as provided in the last sentence of Section </w:t>
      </w:r>
      <w:r w:rsidR="00286173" w:rsidRPr="00510AD0">
        <w:fldChar w:fldCharType="begin"/>
      </w:r>
      <w:r w:rsidR="00286173" w:rsidRPr="00510AD0">
        <w:instrText xml:space="preserve">  REF _Ref69141747 \w \h \* MERGEFORMAT </w:instrText>
      </w:r>
      <w:r w:rsidR="00286173" w:rsidRPr="00510AD0">
        <w:fldChar w:fldCharType="separate"/>
      </w:r>
      <w:r w:rsidR="007751F5" w:rsidRPr="00510AD0">
        <w:t>15.3(b)</w:t>
      </w:r>
      <w:r w:rsidR="00286173" w:rsidRPr="00510AD0">
        <w:fldChar w:fldCharType="end"/>
      </w:r>
      <w:r w:rsidRPr="00510AD0">
        <w:t>,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5FE4CC77" w14:textId="77777777" w:rsidR="0055205C" w:rsidRPr="00510AD0" w:rsidRDefault="0055205C" w:rsidP="0017021E">
      <w:pPr>
        <w:pStyle w:val="Heading2"/>
        <w:rPr>
          <w:vanish/>
          <w:specVanish/>
        </w:rPr>
      </w:pPr>
      <w:bookmarkStart w:id="527" w:name="_Ref69141751"/>
      <w:bookmarkStart w:id="528" w:name="_Toc70208424"/>
      <w:bookmarkStart w:id="529" w:name="_Toc81215074"/>
      <w:bookmarkStart w:id="530" w:name="_Toc78477844"/>
      <w:bookmarkStart w:id="531" w:name="_Toc99035883"/>
      <w:r w:rsidRPr="00510AD0">
        <w:t>Subrogation of Rights</w:t>
      </w:r>
      <w:bookmarkEnd w:id="527"/>
      <w:bookmarkEnd w:id="528"/>
      <w:bookmarkEnd w:id="529"/>
      <w:bookmarkEnd w:id="530"/>
      <w:bookmarkEnd w:id="531"/>
    </w:p>
    <w:p w14:paraId="6784D350" w14:textId="77777777" w:rsidR="0055205C" w:rsidRPr="00510AD0" w:rsidRDefault="0055205C" w:rsidP="00727F6E">
      <w:pPr>
        <w:pStyle w:val="Heading2Continued"/>
      </w:pPr>
      <w:r w:rsidRPr="00510AD0">
        <w:t xml:space="preserve">. Upon making any indemnity payment, the Indemnitor will, to the extent of such indemnity payment, be subrogated to all rights of the Indemnitee against any Third Party in respect of the Indemnifiable Loss to which the indemnity payment relates; provided that </w:t>
      </w:r>
      <w:bookmarkStart w:id="532" w:name="DocXTextRef136"/>
      <w:r w:rsidRPr="00510AD0">
        <w:t>(a)</w:t>
      </w:r>
      <w:bookmarkEnd w:id="532"/>
      <w:r w:rsidRPr="00510AD0">
        <w:t xml:space="preserve"> the Indemnitor is in compliance with its obligations under this Agreement in respect of such Indemnifiable Loss, and </w:t>
      </w:r>
      <w:bookmarkStart w:id="533" w:name="DocXTextRef137"/>
      <w:r w:rsidRPr="00510AD0">
        <w:t>(b)</w:t>
      </w:r>
      <w:bookmarkEnd w:id="533"/>
      <w:r w:rsidRPr="00510AD0">
        <w:t xml:space="preserve">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the Indemnitee and Indemnitor shall execute upon request all instruments reasonably necessary to evidence and perfect the above-described subrogation and subordination rights.</w:t>
      </w:r>
    </w:p>
    <w:p w14:paraId="6DAB8BFC" w14:textId="77777777" w:rsidR="0055205C" w:rsidRPr="00510AD0" w:rsidRDefault="0055205C" w:rsidP="0017021E">
      <w:pPr>
        <w:pStyle w:val="Heading2"/>
        <w:rPr>
          <w:vanish/>
          <w:specVanish/>
        </w:rPr>
      </w:pPr>
      <w:bookmarkStart w:id="534" w:name="_Ref69141752"/>
      <w:bookmarkStart w:id="535" w:name="_Toc70208425"/>
      <w:bookmarkStart w:id="536" w:name="_Toc81215075"/>
      <w:bookmarkStart w:id="537" w:name="_Toc78477845"/>
      <w:bookmarkStart w:id="538" w:name="_Toc99035884"/>
      <w:r w:rsidRPr="00510AD0">
        <w:t>Rights and Remedies are Cumulative</w:t>
      </w:r>
      <w:bookmarkEnd w:id="534"/>
      <w:bookmarkEnd w:id="535"/>
      <w:bookmarkEnd w:id="536"/>
      <w:bookmarkEnd w:id="537"/>
      <w:bookmarkEnd w:id="538"/>
    </w:p>
    <w:p w14:paraId="69264046" w14:textId="77777777" w:rsidR="0055205C" w:rsidRPr="00510AD0" w:rsidRDefault="0055205C" w:rsidP="00727F6E">
      <w:pPr>
        <w:pStyle w:val="Heading2Continued"/>
      </w:pPr>
      <w:r w:rsidRPr="00510AD0">
        <w:t>. The rights and remedies of a Party pursuant to this Article Fifteen are cumulative and in addition to the rights of the Parties otherwise provided in this Agreement.</w:t>
      </w:r>
    </w:p>
    <w:p w14:paraId="7B7CB5D6" w14:textId="77777777" w:rsidR="0055205C" w:rsidRPr="00510AD0" w:rsidRDefault="0055205C" w:rsidP="0017021E">
      <w:pPr>
        <w:pStyle w:val="Heading2"/>
        <w:rPr>
          <w:vanish/>
          <w:specVanish/>
        </w:rPr>
      </w:pPr>
      <w:bookmarkStart w:id="539" w:name="_Ref69141753"/>
      <w:bookmarkStart w:id="540" w:name="_Toc70208426"/>
      <w:bookmarkStart w:id="541" w:name="_Toc81215076"/>
      <w:bookmarkStart w:id="542" w:name="_Toc78477846"/>
      <w:bookmarkStart w:id="543" w:name="_Toc99035885"/>
      <w:r w:rsidRPr="00510AD0">
        <w:lastRenderedPageBreak/>
        <w:t>Insurance</w:t>
      </w:r>
      <w:bookmarkEnd w:id="539"/>
      <w:bookmarkEnd w:id="540"/>
      <w:bookmarkEnd w:id="541"/>
      <w:bookmarkEnd w:id="542"/>
      <w:bookmarkEnd w:id="543"/>
    </w:p>
    <w:p w14:paraId="7A58CEF8" w14:textId="4B0ABD3E" w:rsidR="0055205C" w:rsidRPr="00510AD0" w:rsidRDefault="0055205C" w:rsidP="00727F6E">
      <w:pPr>
        <w:pStyle w:val="Heading2Continued"/>
      </w:pPr>
      <w:r w:rsidRPr="00510AD0">
        <w:t xml:space="preserve">.  Throughout the Term, Seller, at its cost and expense, </w:t>
      </w:r>
      <w:r w:rsidR="0052785B">
        <w:t xml:space="preserve">shall </w:t>
      </w:r>
      <w:r w:rsidRPr="00510AD0">
        <w:t>procure and maintain</w:t>
      </w:r>
      <w:r w:rsidR="00B10F1D" w:rsidRPr="00510AD0">
        <w:t xml:space="preserve">, or </w:t>
      </w:r>
      <w:r w:rsidR="000618F2" w:rsidRPr="00510AD0">
        <w:t xml:space="preserve">subject to </w:t>
      </w:r>
      <w:r w:rsidR="000618F2" w:rsidRPr="00510AD0">
        <w:rPr>
          <w:u w:val="single"/>
        </w:rPr>
        <w:t xml:space="preserve">Section </w:t>
      </w:r>
      <w:r w:rsidR="000618F2" w:rsidRPr="00510AD0">
        <w:rPr>
          <w:u w:val="single"/>
        </w:rPr>
        <w:fldChar w:fldCharType="begin"/>
      </w:r>
      <w:r w:rsidR="000618F2" w:rsidRPr="00510AD0">
        <w:rPr>
          <w:u w:val="single"/>
        </w:rPr>
        <w:instrText xml:space="preserve"> REF _Ref77805587 \w \h  \* MERGEFORMAT </w:instrText>
      </w:r>
      <w:r w:rsidR="000618F2" w:rsidRPr="00510AD0">
        <w:rPr>
          <w:u w:val="single"/>
        </w:rPr>
      </w:r>
      <w:r w:rsidR="000618F2" w:rsidRPr="00510AD0">
        <w:rPr>
          <w:u w:val="single"/>
        </w:rPr>
        <w:fldChar w:fldCharType="separate"/>
      </w:r>
      <w:r w:rsidR="000618F2" w:rsidRPr="00510AD0">
        <w:rPr>
          <w:u w:val="single"/>
        </w:rPr>
        <w:t>14.4</w:t>
      </w:r>
      <w:r w:rsidR="000618F2" w:rsidRPr="00510AD0">
        <w:rPr>
          <w:u w:val="single"/>
        </w:rPr>
        <w:fldChar w:fldCharType="end"/>
      </w:r>
      <w:r w:rsidR="000618F2" w:rsidRPr="00510AD0">
        <w:t xml:space="preserve"> </w:t>
      </w:r>
      <w:r w:rsidR="00B10F1D" w:rsidRPr="00510AD0">
        <w:t xml:space="preserve">cause </w:t>
      </w:r>
      <w:r w:rsidRPr="00510AD0">
        <w:t xml:space="preserve">the </w:t>
      </w:r>
      <w:r w:rsidR="00B10F1D" w:rsidRPr="00510AD0">
        <w:t>Project</w:t>
      </w:r>
      <w:r w:rsidR="004627A7" w:rsidRPr="00510AD0">
        <w:t xml:space="preserve"> Company</w:t>
      </w:r>
      <w:r w:rsidR="00B10F1D" w:rsidRPr="00510AD0">
        <w:t xml:space="preserve"> to procure and maintain,</w:t>
      </w:r>
      <w:r w:rsidRPr="00510AD0">
        <w:t xml:space="preserve"> insurance </w:t>
      </w:r>
      <w:r w:rsidR="00B10F1D" w:rsidRPr="00510AD0">
        <w:t xml:space="preserve">for the Project from a reputable insurance provider with appropriate </w:t>
      </w:r>
      <w:r w:rsidRPr="00510AD0">
        <w:t xml:space="preserve">coverage and sufficient limits </w:t>
      </w:r>
      <w:r w:rsidR="00B10F1D" w:rsidRPr="00510AD0">
        <w:t xml:space="preserve">for a facility </w:t>
      </w:r>
      <w:r w:rsidRPr="00510AD0">
        <w:t xml:space="preserve">of </w:t>
      </w:r>
      <w:r w:rsidR="00B10F1D" w:rsidRPr="00510AD0">
        <w:t>a type comparable to the Project and in accordance with the Prudent Electrical Practices</w:t>
      </w:r>
      <w:r w:rsidRPr="00510AD0">
        <w:t>.</w:t>
      </w:r>
      <w:r w:rsidR="00B10F1D" w:rsidRPr="00510AD0">
        <w:t xml:space="preserve">  </w:t>
      </w:r>
      <w:r w:rsidRPr="00510AD0">
        <w:t xml:space="preserve">For the avoidance of doubt, the obligations of the Seller in this Section </w:t>
      </w:r>
      <w:r w:rsidR="00286173" w:rsidRPr="00510AD0">
        <w:fldChar w:fldCharType="begin"/>
      </w:r>
      <w:r w:rsidR="00286173" w:rsidRPr="00510AD0">
        <w:instrText xml:space="preserve">  REF _Ref69141753 \w \h \* MERGEFORMAT </w:instrText>
      </w:r>
      <w:r w:rsidR="00286173" w:rsidRPr="00510AD0">
        <w:fldChar w:fldCharType="separate"/>
      </w:r>
      <w:r w:rsidR="007751F5" w:rsidRPr="00510AD0">
        <w:t>15.7</w:t>
      </w:r>
      <w:r w:rsidR="00286173" w:rsidRPr="00510AD0">
        <w:fldChar w:fldCharType="end"/>
      </w:r>
      <w:r w:rsidRPr="00510AD0">
        <w:t xml:space="preserve"> constitute a material obligation of this Agreement.</w:t>
      </w:r>
    </w:p>
    <w:p w14:paraId="58A8772C" w14:textId="77777777" w:rsidR="0055205C" w:rsidRPr="00510AD0" w:rsidRDefault="0055205C" w:rsidP="00B458B6">
      <w:pPr>
        <w:pStyle w:val="Heading1"/>
      </w:pPr>
      <w:bookmarkStart w:id="544" w:name="_Toc70208427"/>
      <w:bookmarkStart w:id="545" w:name="_Toc81215077"/>
      <w:bookmarkStart w:id="546" w:name="_Toc78477847"/>
      <w:bookmarkStart w:id="547" w:name="_Toc99035886"/>
      <w:r w:rsidRPr="00510AD0">
        <w:br/>
      </w:r>
      <w:bookmarkStart w:id="548" w:name="_Ref69141777"/>
      <w:r w:rsidRPr="00510AD0">
        <w:t>RECORDS AND AUDIT RIGHTS</w:t>
      </w:r>
      <w:bookmarkEnd w:id="544"/>
      <w:bookmarkEnd w:id="545"/>
      <w:bookmarkEnd w:id="546"/>
      <w:bookmarkEnd w:id="547"/>
      <w:bookmarkEnd w:id="548"/>
    </w:p>
    <w:p w14:paraId="51F0C40D" w14:textId="77777777" w:rsidR="0055205C" w:rsidRPr="00510AD0" w:rsidRDefault="0055205C" w:rsidP="0017021E">
      <w:pPr>
        <w:pStyle w:val="Heading2"/>
        <w:rPr>
          <w:vanish/>
          <w:specVanish/>
        </w:rPr>
      </w:pPr>
      <w:bookmarkStart w:id="549" w:name="_Ref69141778"/>
      <w:bookmarkStart w:id="550" w:name="_Toc70208428"/>
      <w:bookmarkStart w:id="551" w:name="_Toc81215078"/>
      <w:bookmarkStart w:id="552" w:name="_Toc78477848"/>
      <w:bookmarkStart w:id="553" w:name="_Toc99035887"/>
      <w:r w:rsidRPr="00510AD0">
        <w:t>Operations Logs</w:t>
      </w:r>
      <w:bookmarkEnd w:id="549"/>
      <w:bookmarkEnd w:id="550"/>
      <w:bookmarkEnd w:id="551"/>
      <w:bookmarkEnd w:id="552"/>
      <w:bookmarkEnd w:id="553"/>
    </w:p>
    <w:p w14:paraId="1C9E043C" w14:textId="1F302BFF" w:rsidR="0055205C" w:rsidRPr="00510AD0" w:rsidRDefault="0055205C" w:rsidP="00727F6E">
      <w:pPr>
        <w:pStyle w:val="Heading2Continued"/>
      </w:pPr>
      <w:r w:rsidRPr="00510AD0">
        <w:t xml:space="preserve">.  Seller shall, or </w:t>
      </w:r>
      <w:r w:rsidR="00820A53" w:rsidRPr="00510AD0">
        <w:t xml:space="preserve">subject to </w:t>
      </w:r>
      <w:r w:rsidR="00820A53" w:rsidRPr="00510AD0">
        <w:rPr>
          <w:u w:val="single"/>
        </w:rPr>
        <w:t xml:space="preserve">Section </w:t>
      </w:r>
      <w:r w:rsidR="00820A53" w:rsidRPr="00510AD0">
        <w:rPr>
          <w:u w:val="single"/>
        </w:rPr>
        <w:fldChar w:fldCharType="begin"/>
      </w:r>
      <w:r w:rsidR="00820A53" w:rsidRPr="00510AD0">
        <w:rPr>
          <w:u w:val="single"/>
        </w:rPr>
        <w:instrText xml:space="preserve"> REF _Ref77805587 \w \h </w:instrText>
      </w:r>
      <w:r w:rsidR="00510AD0">
        <w:rPr>
          <w:u w:val="single"/>
        </w:rPr>
        <w:instrText xml:space="preserve"> \* MERGEFORMAT </w:instrText>
      </w:r>
      <w:r w:rsidR="00820A53" w:rsidRPr="00510AD0">
        <w:rPr>
          <w:u w:val="single"/>
        </w:rPr>
      </w:r>
      <w:r w:rsidR="00820A53" w:rsidRPr="00510AD0">
        <w:rPr>
          <w:u w:val="single"/>
        </w:rPr>
        <w:fldChar w:fldCharType="separate"/>
      </w:r>
      <w:r w:rsidR="00820A53" w:rsidRPr="00510AD0">
        <w:rPr>
          <w:u w:val="single"/>
        </w:rPr>
        <w:t>14.4</w:t>
      </w:r>
      <w:r w:rsidR="00820A53" w:rsidRPr="00510AD0">
        <w:rPr>
          <w:u w:val="single"/>
        </w:rPr>
        <w:fldChar w:fldCharType="end"/>
      </w:r>
      <w:r w:rsidR="00820A53" w:rsidRPr="00510AD0">
        <w:rPr>
          <w:u w:val="single"/>
        </w:rPr>
        <w:t xml:space="preserve"> </w:t>
      </w:r>
      <w:r w:rsidRPr="00510AD0">
        <w:t>shall cause the Project Company to, maintain a complete and accurate log of all material operations on a daily basis.</w:t>
      </w:r>
      <w:r w:rsidRPr="00510AD0">
        <w:rPr>
          <w:b/>
          <w:i/>
        </w:rPr>
        <w:t xml:space="preserve"> </w:t>
      </w:r>
      <w:r w:rsidRPr="00510AD0">
        <w:t>Such log will include, but not be limited to, information on availability, maintenance performed, outages, electrical characteristics of the Project</w:t>
      </w:r>
      <w:r w:rsidR="006E66CD" w:rsidRPr="00510AD0">
        <w:t>[</w:t>
      </w:r>
      <w:r w:rsidRPr="00510AD0">
        <w:t>,</w:t>
      </w:r>
      <w:r w:rsidR="006E66CD" w:rsidRPr="00510AD0">
        <w:t xml:space="preserve"> </w:t>
      </w:r>
      <w:r w:rsidRPr="00510AD0">
        <w:t xml:space="preserve">any Project specific requirements set forth in Part [XX] of </w:t>
      </w:r>
      <w:r w:rsidRPr="00510AD0">
        <w:rPr>
          <w:u w:val="single"/>
        </w:rPr>
        <w:t>Appendix XIV</w:t>
      </w:r>
      <w:r w:rsidR="00AC23B3" w:rsidRPr="00510AD0">
        <w:rPr>
          <w:u w:val="single"/>
        </w:rPr>
        <w:t>]</w:t>
      </w:r>
      <w:r w:rsidR="006E66CD" w:rsidRPr="00510AD0">
        <w:rPr>
          <w:rStyle w:val="FootnoteReference"/>
          <w:u w:val="single"/>
        </w:rPr>
        <w:footnoteReference w:id="34"/>
      </w:r>
      <w:r w:rsidRPr="00510AD0">
        <w:t xml:space="preserve"> and similar information relating to the availability, testing and operation of the Project.  Seller shall provide, or </w:t>
      </w:r>
      <w:r w:rsidR="00991A50" w:rsidRPr="00510AD0">
        <w:t xml:space="preserve">subject to </w:t>
      </w:r>
      <w:r w:rsidR="00991A50" w:rsidRPr="00510AD0">
        <w:rPr>
          <w:u w:val="single"/>
        </w:rPr>
        <w:t xml:space="preserve">Section </w:t>
      </w:r>
      <w:r w:rsidR="00991A50" w:rsidRPr="00510AD0">
        <w:rPr>
          <w:u w:val="single"/>
        </w:rPr>
        <w:fldChar w:fldCharType="begin"/>
      </w:r>
      <w:r w:rsidR="00991A50" w:rsidRPr="00510AD0">
        <w:rPr>
          <w:u w:val="single"/>
        </w:rPr>
        <w:instrText xml:space="preserve"> REF _Ref77805587 \w \h </w:instrText>
      </w:r>
      <w:r w:rsidR="00510AD0">
        <w:rPr>
          <w:u w:val="single"/>
        </w:rPr>
        <w:instrText xml:space="preserve"> \* MERGEFORMAT </w:instrText>
      </w:r>
      <w:r w:rsidR="00991A50" w:rsidRPr="00510AD0">
        <w:rPr>
          <w:u w:val="single"/>
        </w:rPr>
      </w:r>
      <w:r w:rsidR="00991A50" w:rsidRPr="00510AD0">
        <w:rPr>
          <w:u w:val="single"/>
        </w:rPr>
        <w:fldChar w:fldCharType="separate"/>
      </w:r>
      <w:r w:rsidR="00991A50" w:rsidRPr="00510AD0">
        <w:rPr>
          <w:u w:val="single"/>
        </w:rPr>
        <w:t>14.4</w:t>
      </w:r>
      <w:r w:rsidR="00991A50" w:rsidRPr="00510AD0">
        <w:rPr>
          <w:u w:val="single"/>
        </w:rPr>
        <w:fldChar w:fldCharType="end"/>
      </w:r>
      <w:r w:rsidR="00991A50" w:rsidRPr="00510AD0">
        <w:rPr>
          <w:u w:val="single"/>
        </w:rPr>
        <w:t xml:space="preserve"> </w:t>
      </w:r>
      <w:r w:rsidRPr="00510AD0">
        <w:t>cause the Project Company to provide, this information electronically to Buyer within t</w:t>
      </w:r>
      <w:r w:rsidR="00163761" w:rsidRPr="00510AD0">
        <w:t>en</w:t>
      </w:r>
      <w:r w:rsidRPr="00510AD0">
        <w:t xml:space="preserve"> (</w:t>
      </w:r>
      <w:r w:rsidR="00163761" w:rsidRPr="00510AD0">
        <w:t>10</w:t>
      </w:r>
      <w:r w:rsidRPr="00510AD0">
        <w:t xml:space="preserve">) days of Buyer’s written request.  At the request of Buyer, the CPUC, the staff of the CPUC, </w:t>
      </w:r>
      <w:r w:rsidR="001B018B" w:rsidRPr="00510AD0">
        <w:t xml:space="preserve">or any Governmental Authority, </w:t>
      </w:r>
      <w:r w:rsidRPr="00510AD0">
        <w:t xml:space="preserve">Seller shall provide all records, or </w:t>
      </w:r>
      <w:r w:rsidR="00991A50" w:rsidRPr="00510AD0">
        <w:t xml:space="preserve">subject to </w:t>
      </w:r>
      <w:r w:rsidR="00991A50" w:rsidRPr="00510AD0">
        <w:rPr>
          <w:u w:val="single"/>
        </w:rPr>
        <w:t xml:space="preserve">Section </w:t>
      </w:r>
      <w:r w:rsidR="00991A50" w:rsidRPr="00510AD0">
        <w:rPr>
          <w:u w:val="single"/>
        </w:rPr>
        <w:fldChar w:fldCharType="begin"/>
      </w:r>
      <w:r w:rsidR="00991A50" w:rsidRPr="00510AD0">
        <w:rPr>
          <w:u w:val="single"/>
        </w:rPr>
        <w:instrText xml:space="preserve"> REF _Ref77805587 \w \h </w:instrText>
      </w:r>
      <w:r w:rsidR="00510AD0">
        <w:rPr>
          <w:u w:val="single"/>
        </w:rPr>
        <w:instrText xml:space="preserve"> \* MERGEFORMAT </w:instrText>
      </w:r>
      <w:r w:rsidR="00991A50" w:rsidRPr="00510AD0">
        <w:rPr>
          <w:u w:val="single"/>
        </w:rPr>
      </w:r>
      <w:r w:rsidR="00991A50" w:rsidRPr="00510AD0">
        <w:rPr>
          <w:u w:val="single"/>
        </w:rPr>
        <w:fldChar w:fldCharType="separate"/>
      </w:r>
      <w:r w:rsidR="00991A50" w:rsidRPr="00510AD0">
        <w:rPr>
          <w:u w:val="single"/>
        </w:rPr>
        <w:t>14.4</w:t>
      </w:r>
      <w:r w:rsidR="00991A50" w:rsidRPr="00510AD0">
        <w:rPr>
          <w:u w:val="single"/>
        </w:rPr>
        <w:fldChar w:fldCharType="end"/>
      </w:r>
      <w:r w:rsidR="00991A50" w:rsidRPr="00510AD0">
        <w:rPr>
          <w:u w:val="single"/>
        </w:rPr>
        <w:t xml:space="preserve"> </w:t>
      </w:r>
      <w:r w:rsidRPr="00510AD0">
        <w:t xml:space="preserve">cause the Project Company to provide all records, demonstrating that the Project is operated and maintained in accordance with Prudent Electrical Practices and applicable Laws, including CPUC General Order </w:t>
      </w:r>
      <w:bookmarkStart w:id="554" w:name="DocXTextRef143"/>
      <w:r w:rsidR="00D264DB" w:rsidRPr="00510AD0">
        <w:t xml:space="preserve">No. </w:t>
      </w:r>
      <w:r w:rsidRPr="00510AD0">
        <w:t>167</w:t>
      </w:r>
      <w:bookmarkEnd w:id="554"/>
      <w:r w:rsidRPr="00510AD0">
        <w:t xml:space="preserve">.   </w:t>
      </w:r>
    </w:p>
    <w:p w14:paraId="75153FA5" w14:textId="77777777" w:rsidR="0055205C" w:rsidRPr="00510AD0" w:rsidRDefault="0055205C" w:rsidP="0017021E">
      <w:pPr>
        <w:pStyle w:val="Heading2"/>
      </w:pPr>
      <w:bookmarkStart w:id="555" w:name="_Ref69141779"/>
      <w:bookmarkStart w:id="556" w:name="_Toc70208429"/>
      <w:bookmarkStart w:id="557" w:name="_Toc81215079"/>
      <w:bookmarkStart w:id="558" w:name="_Toc78477849"/>
      <w:bookmarkStart w:id="559" w:name="_Toc99035888"/>
      <w:r w:rsidRPr="00510AD0">
        <w:t>Records and Audit.</w:t>
      </w:r>
      <w:bookmarkEnd w:id="555"/>
      <w:bookmarkEnd w:id="556"/>
      <w:bookmarkEnd w:id="557"/>
      <w:bookmarkEnd w:id="558"/>
      <w:bookmarkEnd w:id="559"/>
    </w:p>
    <w:p w14:paraId="4B379294" w14:textId="77777777" w:rsidR="0055205C" w:rsidRPr="00510AD0" w:rsidRDefault="0055205C" w:rsidP="00D74823">
      <w:pPr>
        <w:pStyle w:val="Heading3"/>
      </w:pPr>
      <w:bookmarkStart w:id="560" w:name="_Ref69141780"/>
      <w:r w:rsidRPr="00510AD0">
        <w:rPr>
          <w:u w:val="single"/>
        </w:rPr>
        <w:t>Records and Audit</w:t>
      </w:r>
      <w:r w:rsidRPr="00510AD0">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bookmarkEnd w:id="560"/>
    </w:p>
    <w:p w14:paraId="2DFF1880" w14:textId="77777777" w:rsidR="0055205C" w:rsidRPr="00510AD0" w:rsidRDefault="0055205C" w:rsidP="00D74823">
      <w:pPr>
        <w:pStyle w:val="Heading4"/>
      </w:pPr>
      <w:bookmarkStart w:id="561" w:name="_Ref69141781"/>
      <w:r w:rsidRPr="00510AD0">
        <w:t>Seller’s unaudited financial statements and notes to financial statements; and</w:t>
      </w:r>
      <w:bookmarkEnd w:id="561"/>
    </w:p>
    <w:p w14:paraId="2E5BAD15" w14:textId="77777777" w:rsidR="0055205C" w:rsidRPr="00510AD0" w:rsidRDefault="0055205C" w:rsidP="00D74823">
      <w:pPr>
        <w:pStyle w:val="Heading4"/>
      </w:pPr>
      <w:bookmarkStart w:id="562" w:name="_Ref69141782"/>
      <w:r w:rsidRPr="00510AD0">
        <w:t>financial schedules underlying the financial statements.</w:t>
      </w:r>
      <w:bookmarkEnd w:id="562"/>
    </w:p>
    <w:p w14:paraId="0E0BDC84" w14:textId="760ADE5E" w:rsidR="0055205C" w:rsidRPr="00510AD0" w:rsidRDefault="0055205C" w:rsidP="00D74823">
      <w:pPr>
        <w:pStyle w:val="Heading3"/>
      </w:pPr>
      <w:bookmarkStart w:id="563" w:name="_Ref69141783"/>
      <w:r w:rsidRPr="00510AD0">
        <w:t xml:space="preserve">Any information provided to Buyer pursuant to this Section </w:t>
      </w:r>
      <w:r w:rsidR="00286173" w:rsidRPr="00510AD0">
        <w:fldChar w:fldCharType="begin"/>
      </w:r>
      <w:r w:rsidR="00286173" w:rsidRPr="00510AD0">
        <w:instrText xml:space="preserve">  REF _Ref69141779 \w \h \* MERGEFORMAT </w:instrText>
      </w:r>
      <w:r w:rsidR="00286173" w:rsidRPr="00510AD0">
        <w:fldChar w:fldCharType="separate"/>
      </w:r>
      <w:r w:rsidR="007751F5" w:rsidRPr="00510AD0">
        <w:t>16.2</w:t>
      </w:r>
      <w:r w:rsidR="00286173" w:rsidRPr="00510AD0">
        <w:fldChar w:fldCharType="end"/>
      </w:r>
      <w:r w:rsidRPr="00510AD0">
        <w:t xml:space="preserve"> shall be considered </w:t>
      </w:r>
      <w:r w:rsidR="0004274D">
        <w:t>C</w:t>
      </w:r>
      <w:r w:rsidRPr="00510AD0">
        <w:t xml:space="preserve">onfidential </w:t>
      </w:r>
      <w:r w:rsidR="0004274D">
        <w:t xml:space="preserve">Information </w:t>
      </w:r>
      <w:r w:rsidRPr="00510AD0">
        <w:t xml:space="preserve">in accordance with the terms of this Agreement and shall only be disclosed on an aggregate basis with other entities for which Buyer has similar agreements.  Buyer shall use this information only for financial statement purposes and shall share such information with </w:t>
      </w:r>
      <w:bookmarkStart w:id="564" w:name="DocXTextRef145"/>
      <w:r w:rsidRPr="00510AD0">
        <w:t>(i)</w:t>
      </w:r>
      <w:bookmarkEnd w:id="564"/>
      <w:r w:rsidRPr="00510AD0">
        <w:t xml:space="preserve"> internal or external parties or (ii) regulatory, administrative or legal entities or authorities only as necessary in connection with the preparation and audit of Buyer’s financial statements.</w:t>
      </w:r>
      <w:bookmarkEnd w:id="563"/>
    </w:p>
    <w:p w14:paraId="78177E47" w14:textId="77777777" w:rsidR="0055205C" w:rsidRPr="00510AD0" w:rsidRDefault="0055205C" w:rsidP="00D74823">
      <w:pPr>
        <w:pStyle w:val="Heading3"/>
      </w:pPr>
      <w:bookmarkStart w:id="565" w:name="_Ref69141784"/>
      <w:r w:rsidRPr="00510AD0">
        <w:lastRenderedPageBreak/>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bookmarkEnd w:id="565"/>
    </w:p>
    <w:p w14:paraId="38547130" w14:textId="77777777" w:rsidR="0055205C" w:rsidRPr="00510AD0" w:rsidRDefault="0055205C" w:rsidP="0017021E">
      <w:pPr>
        <w:pStyle w:val="Heading2"/>
        <w:rPr>
          <w:vanish/>
          <w:specVanish/>
        </w:rPr>
      </w:pPr>
      <w:bookmarkStart w:id="566" w:name="_Ref69141785"/>
      <w:bookmarkStart w:id="567" w:name="_Toc70208430"/>
      <w:bookmarkStart w:id="568" w:name="_Toc81215080"/>
      <w:bookmarkStart w:id="569" w:name="_Toc78477850"/>
      <w:bookmarkStart w:id="570" w:name="_Toc99035889"/>
      <w:r w:rsidRPr="00510AD0">
        <w:t>General Audit Right</w:t>
      </w:r>
      <w:bookmarkEnd w:id="566"/>
      <w:bookmarkEnd w:id="567"/>
      <w:bookmarkEnd w:id="568"/>
      <w:bookmarkEnd w:id="569"/>
      <w:bookmarkEnd w:id="570"/>
    </w:p>
    <w:p w14:paraId="1A8720F9" w14:textId="16149B53" w:rsidR="0055205C" w:rsidRPr="00510AD0" w:rsidRDefault="0055205C" w:rsidP="00727F6E">
      <w:pPr>
        <w:pStyle w:val="Heading2Continued"/>
      </w:pPr>
      <w:r w:rsidRPr="00510AD0">
        <w:t xml:space="preserve">.  Each Party has the right, at its sole expense, during normal working hours, and after reasonable Notice, to examine the records of the other Party, and in the case of Buyer, </w:t>
      </w:r>
      <w:bookmarkStart w:id="571" w:name="_Hlk64985853"/>
      <w:r w:rsidRPr="00510AD0">
        <w:t xml:space="preserve">Seller shall cause </w:t>
      </w:r>
      <w:r w:rsidR="00991A50" w:rsidRPr="00510AD0">
        <w:t xml:space="preserve">subject to </w:t>
      </w:r>
      <w:r w:rsidR="00991A50" w:rsidRPr="00510AD0">
        <w:rPr>
          <w:u w:val="single"/>
        </w:rPr>
        <w:t xml:space="preserve">Section </w:t>
      </w:r>
      <w:r w:rsidR="00991A50" w:rsidRPr="00510AD0">
        <w:rPr>
          <w:u w:val="single"/>
        </w:rPr>
        <w:fldChar w:fldCharType="begin"/>
      </w:r>
      <w:r w:rsidR="00991A50" w:rsidRPr="00510AD0">
        <w:rPr>
          <w:u w:val="single"/>
        </w:rPr>
        <w:instrText xml:space="preserve"> REF _Ref77805587 \w \h </w:instrText>
      </w:r>
      <w:r w:rsidR="00510AD0">
        <w:rPr>
          <w:u w:val="single"/>
        </w:rPr>
        <w:instrText xml:space="preserve"> \* MERGEFORMAT </w:instrText>
      </w:r>
      <w:r w:rsidR="00991A50" w:rsidRPr="00510AD0">
        <w:rPr>
          <w:u w:val="single"/>
        </w:rPr>
      </w:r>
      <w:r w:rsidR="00991A50" w:rsidRPr="00510AD0">
        <w:rPr>
          <w:u w:val="single"/>
        </w:rPr>
        <w:fldChar w:fldCharType="separate"/>
      </w:r>
      <w:r w:rsidR="00991A50" w:rsidRPr="00510AD0">
        <w:rPr>
          <w:u w:val="single"/>
        </w:rPr>
        <w:t>14.4</w:t>
      </w:r>
      <w:r w:rsidR="00991A50" w:rsidRPr="00510AD0">
        <w:rPr>
          <w:u w:val="single"/>
        </w:rPr>
        <w:fldChar w:fldCharType="end"/>
      </w:r>
      <w:r w:rsidR="00991A50" w:rsidRPr="00510AD0">
        <w:t xml:space="preserve"> </w:t>
      </w:r>
      <w:r w:rsidRPr="00510AD0">
        <w:t>the Project Company to grant the Buyer the right to examine the records of the Project Company,</w:t>
      </w:r>
      <w:bookmarkEnd w:id="571"/>
      <w:r w:rsidR="00D264DB" w:rsidRPr="00510AD0">
        <w:t xml:space="preserve"> </w:t>
      </w:r>
      <w:r w:rsidRPr="00510AD0">
        <w:t xml:space="preserve">to the extent reasonably necessary to verify the accuracy of any statement (including documents that supplement this Agreement), charge, or computation made pursuant to this Agreement </w:t>
      </w:r>
      <w:r w:rsidR="00AC23B3" w:rsidRPr="00510AD0">
        <w:t>[</w:t>
      </w:r>
      <w:r w:rsidRPr="00510AD0">
        <w:t xml:space="preserve">and with respect to Project technology specific requirements set forth in Part </w:t>
      </w:r>
      <w:bookmarkStart w:id="572" w:name="DocXTextRef146"/>
      <w:r w:rsidRPr="00510AD0">
        <w:t>5</w:t>
      </w:r>
      <w:bookmarkEnd w:id="572"/>
      <w:r w:rsidRPr="00510AD0">
        <w:t xml:space="preserve"> of </w:t>
      </w:r>
      <w:r w:rsidRPr="00510AD0">
        <w:rPr>
          <w:u w:val="single"/>
        </w:rPr>
        <w:t>Appendix XIV</w:t>
      </w:r>
      <w:r w:rsidR="00AC23B3" w:rsidRPr="00510AD0">
        <w:rPr>
          <w:u w:val="single"/>
        </w:rPr>
        <w:t>]</w:t>
      </w:r>
      <w:r w:rsidRPr="00510AD0">
        <w:t>.</w:t>
      </w:r>
      <w:r w:rsidR="006E66CD" w:rsidRPr="00510AD0">
        <w:rPr>
          <w:rStyle w:val="FootnoteReference"/>
        </w:rPr>
        <w:footnoteReference w:id="35"/>
      </w:r>
      <w:r w:rsidRPr="00510AD0">
        <w:t xml:space="preserve">  If such examination reveals any material inaccuracy in any statement, the necessary adjustments shall be made promptly; provided that, if the examining Party raises its objection more than twelve (12) months after the date of the statement in question, that objection shall be deemed waived.  </w:t>
      </w:r>
    </w:p>
    <w:p w14:paraId="4D089E76" w14:textId="77777777" w:rsidR="0055205C" w:rsidRPr="00510AD0" w:rsidRDefault="0055205C" w:rsidP="0017021E">
      <w:pPr>
        <w:pStyle w:val="Heading2"/>
        <w:rPr>
          <w:vanish/>
          <w:specVanish/>
        </w:rPr>
      </w:pPr>
      <w:bookmarkStart w:id="573" w:name="_Ref69141786"/>
      <w:bookmarkStart w:id="574" w:name="_Toc70208431"/>
      <w:bookmarkStart w:id="575" w:name="_Toc81215081"/>
      <w:bookmarkStart w:id="576" w:name="_Toc78477851"/>
      <w:bookmarkStart w:id="577" w:name="_Toc99035890"/>
      <w:r w:rsidRPr="00510AD0">
        <w:t>Data Request Cooperation</w:t>
      </w:r>
      <w:bookmarkEnd w:id="573"/>
      <w:bookmarkEnd w:id="574"/>
      <w:bookmarkEnd w:id="575"/>
      <w:bookmarkEnd w:id="576"/>
      <w:bookmarkEnd w:id="577"/>
    </w:p>
    <w:p w14:paraId="5EB402EF" w14:textId="77777777" w:rsidR="0055205C" w:rsidRPr="00510AD0" w:rsidRDefault="0055205C" w:rsidP="00727F6E">
      <w:pPr>
        <w:pStyle w:val="Heading2Continued"/>
      </w:pPr>
      <w:r w:rsidRPr="00510AD0">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Nineteen.  </w:t>
      </w:r>
    </w:p>
    <w:p w14:paraId="3AE18482" w14:textId="77777777" w:rsidR="0055205C" w:rsidRPr="00510AD0" w:rsidRDefault="0055205C" w:rsidP="0017021E">
      <w:pPr>
        <w:pStyle w:val="Heading2"/>
        <w:rPr>
          <w:vanish/>
          <w:specVanish/>
        </w:rPr>
      </w:pPr>
      <w:bookmarkStart w:id="578" w:name="_Ref69141787"/>
      <w:bookmarkStart w:id="579" w:name="_Toc70208432"/>
      <w:bookmarkStart w:id="580" w:name="_Toc81215082"/>
      <w:bookmarkStart w:id="581" w:name="_Toc78477852"/>
      <w:bookmarkStart w:id="582" w:name="_Toc99035891"/>
      <w:r w:rsidRPr="00510AD0">
        <w:t>Access Rights</w:t>
      </w:r>
      <w:bookmarkEnd w:id="578"/>
      <w:bookmarkEnd w:id="579"/>
      <w:bookmarkEnd w:id="580"/>
      <w:bookmarkEnd w:id="581"/>
      <w:bookmarkEnd w:id="582"/>
    </w:p>
    <w:p w14:paraId="78A54877" w14:textId="5FA82113" w:rsidR="0055205C" w:rsidRPr="00510AD0" w:rsidRDefault="0055205C" w:rsidP="00727F6E">
      <w:pPr>
        <w:pStyle w:val="Heading2Continued"/>
      </w:pPr>
      <w:r w:rsidRPr="00510AD0">
        <w:t xml:space="preserve">.  </w:t>
      </w:r>
      <w:r w:rsidR="0072619C" w:rsidRPr="00510AD0">
        <w:t xml:space="preserve">Subject to </w:t>
      </w:r>
      <w:r w:rsidR="0072619C" w:rsidRPr="00510AD0">
        <w:rPr>
          <w:u w:val="single"/>
        </w:rPr>
        <w:t xml:space="preserve">Section </w:t>
      </w:r>
      <w:r w:rsidR="0072619C" w:rsidRPr="00510AD0">
        <w:rPr>
          <w:u w:val="single"/>
        </w:rPr>
        <w:fldChar w:fldCharType="begin"/>
      </w:r>
      <w:r w:rsidR="0072619C" w:rsidRPr="00510AD0">
        <w:rPr>
          <w:u w:val="single"/>
        </w:rPr>
        <w:instrText xml:space="preserve"> REF _Ref77805587 \w \h </w:instrText>
      </w:r>
      <w:r w:rsidR="00510AD0">
        <w:rPr>
          <w:u w:val="single"/>
        </w:rPr>
        <w:instrText xml:space="preserve"> \* MERGEFORMAT </w:instrText>
      </w:r>
      <w:r w:rsidR="0072619C" w:rsidRPr="00510AD0">
        <w:rPr>
          <w:u w:val="single"/>
        </w:rPr>
      </w:r>
      <w:r w:rsidR="0072619C" w:rsidRPr="00510AD0">
        <w:rPr>
          <w:u w:val="single"/>
        </w:rPr>
        <w:fldChar w:fldCharType="separate"/>
      </w:r>
      <w:r w:rsidR="0072619C" w:rsidRPr="00510AD0">
        <w:rPr>
          <w:u w:val="single"/>
        </w:rPr>
        <w:t>14.4</w:t>
      </w:r>
      <w:r w:rsidR="0072619C" w:rsidRPr="00510AD0">
        <w:rPr>
          <w:u w:val="single"/>
        </w:rPr>
        <w:fldChar w:fldCharType="end"/>
      </w:r>
      <w:r w:rsidR="0072619C" w:rsidRPr="00510AD0">
        <w:t xml:space="preserve"> </w:t>
      </w:r>
      <w:r w:rsidR="00D264DB" w:rsidRPr="00510AD0">
        <w:t>S</w:t>
      </w:r>
      <w:r w:rsidRPr="00510AD0">
        <w:t xml:space="preserve">eller shall ensure that during the Delivery Term Buyer, its authorized agents, employees and inspectors, have, while observing and abiding by safety and security procedures of the Parties and </w:t>
      </w:r>
      <w:r w:rsidR="0072619C" w:rsidRPr="00510AD0">
        <w:t xml:space="preserve">the </w:t>
      </w:r>
      <w:r w:rsidRPr="00510AD0">
        <w:t>Project Company and their respective Affiliates (and if Behind the Meter Project, and Customers), the right of ingress to and egress from the Project</w:t>
      </w:r>
      <w:bookmarkStart w:id="583" w:name="_DV_C400"/>
      <w:r w:rsidRPr="00510AD0">
        <w:t>, including the Site(s)</w:t>
      </w:r>
      <w:r w:rsidR="006E66CD" w:rsidRPr="00510AD0">
        <w:t>,</w:t>
      </w:r>
      <w:r w:rsidRPr="00510AD0">
        <w:t xml:space="preserve"> with reasonable advance Notice</w:t>
      </w:r>
      <w:bookmarkEnd w:id="583"/>
      <w:r w:rsidRPr="00510AD0">
        <w:t xml:space="preserve"> and</w:t>
      </w:r>
      <w:r w:rsidR="00421909" w:rsidRPr="00510AD0">
        <w:t xml:space="preserve"> at reasonable times</w:t>
      </w:r>
      <w:r w:rsidRPr="00510AD0">
        <w:t xml:space="preserve"> for any purposes reasonably connected with this Agreement.  Buyer shall make reasonable efforts to request from Seller access during normal business hours and to coordinate its emergency activities with the safety and security departments, if any, of the Project operator, Seller, </w:t>
      </w:r>
      <w:r w:rsidR="0072619C" w:rsidRPr="00510AD0">
        <w:t xml:space="preserve">subject to </w:t>
      </w:r>
      <w:r w:rsidR="0072619C" w:rsidRPr="00510AD0">
        <w:rPr>
          <w:u w:val="single"/>
        </w:rPr>
        <w:t xml:space="preserve">Section </w:t>
      </w:r>
      <w:r w:rsidR="0072619C" w:rsidRPr="00510AD0">
        <w:rPr>
          <w:u w:val="single"/>
        </w:rPr>
        <w:fldChar w:fldCharType="begin"/>
      </w:r>
      <w:r w:rsidR="0072619C" w:rsidRPr="00510AD0">
        <w:rPr>
          <w:u w:val="single"/>
        </w:rPr>
        <w:instrText xml:space="preserve"> REF _Ref77805587 \w \h </w:instrText>
      </w:r>
      <w:r w:rsidR="00510AD0">
        <w:rPr>
          <w:u w:val="single"/>
        </w:rPr>
        <w:instrText xml:space="preserve"> \* MERGEFORMAT </w:instrText>
      </w:r>
      <w:r w:rsidR="0072619C" w:rsidRPr="00510AD0">
        <w:rPr>
          <w:u w:val="single"/>
        </w:rPr>
      </w:r>
      <w:r w:rsidR="0072619C" w:rsidRPr="00510AD0">
        <w:rPr>
          <w:u w:val="single"/>
        </w:rPr>
        <w:fldChar w:fldCharType="separate"/>
      </w:r>
      <w:r w:rsidR="0072619C" w:rsidRPr="00510AD0">
        <w:rPr>
          <w:u w:val="single"/>
        </w:rPr>
        <w:t>14.4</w:t>
      </w:r>
      <w:r w:rsidR="0072619C" w:rsidRPr="00510AD0">
        <w:rPr>
          <w:u w:val="single"/>
        </w:rPr>
        <w:fldChar w:fldCharType="end"/>
      </w:r>
      <w:r w:rsidR="0072619C" w:rsidRPr="00510AD0">
        <w:t xml:space="preserve"> </w:t>
      </w:r>
      <w:r w:rsidRPr="00510AD0">
        <w:t>Project Company</w:t>
      </w:r>
      <w:r w:rsidR="002057A0" w:rsidRPr="00510AD0">
        <w:t xml:space="preserve"> </w:t>
      </w:r>
      <w:r w:rsidRPr="00510AD0">
        <w:t>and their respective Affiliates (and if Behind the Meter Project, and Customers).  Seller shall keep Buyer advised of current procedures for contacting the Project operator’s</w:t>
      </w:r>
      <w:r w:rsidR="002057A0" w:rsidRPr="00510AD0">
        <w:t>,</w:t>
      </w:r>
      <w:r w:rsidR="00D264DB" w:rsidRPr="00510AD0">
        <w:t xml:space="preserve"> </w:t>
      </w:r>
      <w:r w:rsidRPr="00510AD0">
        <w:t>Seller’s and Project Company’s</w:t>
      </w:r>
      <w:r w:rsidR="00D264DB" w:rsidRPr="00510AD0">
        <w:t xml:space="preserve"> </w:t>
      </w:r>
      <w:r w:rsidRPr="00510AD0">
        <w:t>(and if Behind the Meter Project, and Customers)</w:t>
      </w:r>
      <w:r w:rsidR="0072619C" w:rsidRPr="00510AD0">
        <w:t xml:space="preserve"> </w:t>
      </w:r>
      <w:r w:rsidRPr="00510AD0">
        <w:t>safety and security departments.</w:t>
      </w:r>
    </w:p>
    <w:p w14:paraId="77D9E3E1" w14:textId="77777777" w:rsidR="0055205C" w:rsidRPr="00510AD0" w:rsidRDefault="0055205C" w:rsidP="00B458B6">
      <w:pPr>
        <w:pStyle w:val="Heading1"/>
      </w:pPr>
      <w:bookmarkStart w:id="584" w:name="_Toc70208433"/>
      <w:bookmarkStart w:id="585" w:name="_Toc81215083"/>
      <w:bookmarkStart w:id="586" w:name="_Toc78477853"/>
      <w:bookmarkStart w:id="587" w:name="_Toc99035892"/>
      <w:r w:rsidRPr="00510AD0">
        <w:br/>
      </w:r>
      <w:bookmarkStart w:id="588" w:name="_Ref69141788"/>
      <w:r w:rsidRPr="00510AD0">
        <w:t>ASSIGNMENT</w:t>
      </w:r>
      <w:bookmarkEnd w:id="584"/>
      <w:bookmarkEnd w:id="585"/>
      <w:bookmarkEnd w:id="586"/>
      <w:bookmarkEnd w:id="587"/>
      <w:bookmarkEnd w:id="588"/>
    </w:p>
    <w:p w14:paraId="7D08293E" w14:textId="77777777" w:rsidR="0055205C" w:rsidRPr="00510AD0" w:rsidRDefault="0055205C" w:rsidP="0017021E">
      <w:pPr>
        <w:pStyle w:val="Heading2"/>
        <w:rPr>
          <w:vanish/>
          <w:specVanish/>
        </w:rPr>
      </w:pPr>
      <w:bookmarkStart w:id="589" w:name="_Ref69141789"/>
      <w:bookmarkStart w:id="590" w:name="_Toc70208434"/>
      <w:bookmarkStart w:id="591" w:name="_Toc81215084"/>
      <w:bookmarkStart w:id="592" w:name="_Toc78477854"/>
      <w:bookmarkStart w:id="593" w:name="_Toc99035893"/>
      <w:r w:rsidRPr="00510AD0">
        <w:t>General Assignment</w:t>
      </w:r>
      <w:bookmarkEnd w:id="589"/>
      <w:bookmarkEnd w:id="590"/>
      <w:bookmarkEnd w:id="591"/>
      <w:bookmarkEnd w:id="592"/>
      <w:bookmarkEnd w:id="593"/>
    </w:p>
    <w:p w14:paraId="3D232F20" w14:textId="6E3A6E83" w:rsidR="0055205C" w:rsidRPr="00510AD0" w:rsidRDefault="0055205C" w:rsidP="00727F6E">
      <w:pPr>
        <w:pStyle w:val="Heading2Continued"/>
      </w:pPr>
      <w:r w:rsidRPr="00510AD0">
        <w:t xml:space="preserve">.   Neither Party shall assign this Agreement or its rights hereunder without the prior written consent of the other Party, which consent will not be unreasonably conditioned, delayed, or withheld so long as among other things </w:t>
      </w:r>
      <w:r w:rsidR="0032688A" w:rsidRPr="00510AD0">
        <w:fldChar w:fldCharType="begin"/>
      </w:r>
      <w:bookmarkStart w:id="594" w:name="_Ref69142654"/>
      <w:bookmarkEnd w:id="594"/>
      <w:r w:rsidR="0032688A" w:rsidRPr="00510AD0">
        <w:instrText xml:space="preserve"> LISTNUM  \l 3  </w:instrText>
      </w:r>
      <w:r w:rsidR="0032688A" w:rsidRPr="00510AD0">
        <w:fldChar w:fldCharType="end">
          <w:numberingChange w:id="595" w:author="Author" w:original="(a)"/>
        </w:fldChar>
      </w:r>
      <w:r w:rsidRPr="00510AD0">
        <w:t xml:space="preserve"> the assignee assumes the transferring Party’s payment and performance, credit and collateral obligations under this Agreement, </w:t>
      </w:r>
      <w:r w:rsidR="0032688A" w:rsidRPr="00510AD0">
        <w:fldChar w:fldCharType="begin"/>
      </w:r>
      <w:r w:rsidR="0032688A" w:rsidRPr="00510AD0">
        <w:instrText xml:space="preserve"> LISTNUM  \l 3  </w:instrText>
      </w:r>
      <w:r w:rsidR="0032688A" w:rsidRPr="00510AD0">
        <w:fldChar w:fldCharType="end">
          <w:numberingChange w:id="596" w:author="Author" w:original="(b)"/>
        </w:fldChar>
      </w:r>
      <w:r w:rsidRPr="00510AD0">
        <w:t xml:space="preserve"> the assignee agrees in writing to be bound by the terms and conditions hereof, </w:t>
      </w:r>
      <w:r w:rsidR="0032688A" w:rsidRPr="00510AD0">
        <w:fldChar w:fldCharType="begin"/>
      </w:r>
      <w:r w:rsidR="0032688A" w:rsidRPr="00510AD0">
        <w:instrText xml:space="preserve"> LISTNUM  \l 3  </w:instrText>
      </w:r>
      <w:r w:rsidR="0032688A" w:rsidRPr="00510AD0">
        <w:fldChar w:fldCharType="end">
          <w:numberingChange w:id="597" w:author="Author" w:original="(c)"/>
        </w:fldChar>
      </w:r>
      <w:r w:rsidRPr="00510AD0">
        <w:t xml:space="preserve"> the transferring Party delivers evidence satisfactory to the non-transferring Party of </w:t>
      </w:r>
      <w:r w:rsidRPr="00510AD0">
        <w:lastRenderedPageBreak/>
        <w:t xml:space="preserve">the proposed assignee’s technical and financial capability to fulfill the assigning Party’s obligations hereunder, </w:t>
      </w:r>
      <w:r w:rsidR="0032688A" w:rsidRPr="00510AD0">
        <w:fldChar w:fldCharType="begin"/>
      </w:r>
      <w:r w:rsidR="0032688A" w:rsidRPr="00510AD0">
        <w:instrText xml:space="preserve"> LISTNUM  \l 3  </w:instrText>
      </w:r>
      <w:r w:rsidR="0032688A" w:rsidRPr="00510AD0">
        <w:fldChar w:fldCharType="end">
          <w:numberingChange w:id="598" w:author="Author" w:original="(d)"/>
        </w:fldChar>
      </w:r>
      <w:r w:rsidRPr="00510AD0">
        <w:t xml:space="preserve"> the transferring Party delivers such tax and enforceability assurance as the other Party may reasonably request, and </w:t>
      </w:r>
      <w:r w:rsidR="0032688A" w:rsidRPr="00510AD0">
        <w:fldChar w:fldCharType="begin"/>
      </w:r>
      <w:r w:rsidR="0032688A" w:rsidRPr="00510AD0">
        <w:instrText xml:space="preserve"> LISTNUM  \l 3  </w:instrText>
      </w:r>
      <w:r w:rsidR="0032688A" w:rsidRPr="00510AD0">
        <w:fldChar w:fldCharType="end">
          <w:numberingChange w:id="599" w:author="Author" w:original="(e)"/>
        </w:fldChar>
      </w:r>
      <w:r w:rsidRPr="00510AD0">
        <w:t xml:space="preserve"> in the case of Seller as the transferring Party, </w:t>
      </w:r>
      <w:bookmarkStart w:id="600" w:name="DocXTextRef152"/>
      <w:r w:rsidRPr="00510AD0">
        <w:t>(i)</w:t>
      </w:r>
      <w:bookmarkEnd w:id="600"/>
      <w:r w:rsidR="00D264DB" w:rsidRPr="00510AD0">
        <w:t xml:space="preserve"> </w:t>
      </w:r>
      <w:r w:rsidRPr="00510AD0">
        <w:t>Seller assigns this Agreement to the Project Company or to a third party contemporaneously with the assignment of all of its rights under the Seller Supply Agreement and to the assignee to which it assigned all of its rights under the Seller Supply Agreement and (ii) Seller delivers to Buyer, upon Buyer’s request, documentation to demonstrate the assignee is capable of satisfying and complying with the Safety Requirements.</w:t>
      </w:r>
    </w:p>
    <w:p w14:paraId="31CEF1DA" w14:textId="77777777" w:rsidR="0055205C" w:rsidRPr="00510AD0" w:rsidRDefault="0055205C" w:rsidP="0017021E">
      <w:pPr>
        <w:pStyle w:val="Heading2"/>
        <w:numPr>
          <w:ilvl w:val="1"/>
          <w:numId w:val="10"/>
        </w:numPr>
        <w:rPr>
          <w:vanish/>
          <w:specVanish/>
        </w:rPr>
      </w:pPr>
      <w:bookmarkStart w:id="601" w:name="_Toc78477855"/>
      <w:bookmarkStart w:id="602" w:name="_Toc99035894"/>
      <w:bookmarkStart w:id="603" w:name="_Ref69141790"/>
      <w:bookmarkStart w:id="604" w:name="_Toc70208435"/>
      <w:bookmarkStart w:id="605" w:name="_Toc81215085"/>
      <w:r w:rsidRPr="00510AD0">
        <w:t>[</w:t>
      </w:r>
      <w:r w:rsidR="002057A0" w:rsidRPr="00510AD0">
        <w:t>Reserved.]</w:t>
      </w:r>
      <w:bookmarkEnd w:id="601"/>
      <w:bookmarkEnd w:id="602"/>
    </w:p>
    <w:p w14:paraId="6B20F94E" w14:textId="77777777" w:rsidR="0055205C" w:rsidRPr="00510AD0" w:rsidRDefault="0055205C" w:rsidP="00727F6E">
      <w:pPr>
        <w:pStyle w:val="Heading2Continued"/>
      </w:pPr>
      <w:r w:rsidRPr="00510AD0">
        <w:t xml:space="preserve">.  </w:t>
      </w:r>
    </w:p>
    <w:p w14:paraId="67586280" w14:textId="77777777" w:rsidR="0055205C" w:rsidRPr="00510AD0" w:rsidRDefault="0055205C" w:rsidP="0017021E">
      <w:pPr>
        <w:pStyle w:val="Heading2"/>
        <w:rPr>
          <w:vanish/>
          <w:specVanish/>
        </w:rPr>
      </w:pPr>
      <w:bookmarkStart w:id="606" w:name="_Ref69141791"/>
      <w:bookmarkStart w:id="607" w:name="_Toc70208436"/>
      <w:bookmarkStart w:id="608" w:name="_Toc81215086"/>
      <w:bookmarkStart w:id="609" w:name="_Toc78477856"/>
      <w:bookmarkStart w:id="610" w:name="_Toc99035895"/>
      <w:bookmarkEnd w:id="603"/>
      <w:bookmarkEnd w:id="604"/>
      <w:bookmarkEnd w:id="605"/>
      <w:r w:rsidRPr="00510AD0">
        <w:t>Assignment in Connection with a Change in Control</w:t>
      </w:r>
      <w:bookmarkEnd w:id="606"/>
      <w:bookmarkEnd w:id="607"/>
      <w:bookmarkEnd w:id="608"/>
      <w:bookmarkEnd w:id="609"/>
      <w:bookmarkEnd w:id="610"/>
    </w:p>
    <w:p w14:paraId="44C7B0CD" w14:textId="5009B270" w:rsidR="0055205C" w:rsidRPr="00510AD0" w:rsidRDefault="0055205C" w:rsidP="00727F6E">
      <w:pPr>
        <w:pStyle w:val="Heading2Continued"/>
      </w:pPr>
      <w:r w:rsidRPr="00510AD0">
        <w:t xml:space="preserve">.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w:t>
      </w:r>
      <w:r w:rsidR="0032688A" w:rsidRPr="00510AD0">
        <w:fldChar w:fldCharType="begin"/>
      </w:r>
      <w:r w:rsidR="0032688A" w:rsidRPr="00510AD0">
        <w:instrText xml:space="preserve"> REF _Ref69142654 \r \h </w:instrText>
      </w:r>
      <w:r w:rsidR="00510AD0">
        <w:instrText xml:space="preserve"> \* MERGEFORMAT </w:instrText>
      </w:r>
      <w:r w:rsidR="0032688A" w:rsidRPr="00510AD0">
        <w:fldChar w:fldCharType="separate"/>
      </w:r>
      <w:r w:rsidR="007751F5" w:rsidRPr="00510AD0">
        <w:t>17.1(a)</w:t>
      </w:r>
      <w:r w:rsidR="0032688A" w:rsidRPr="00510AD0">
        <w:fldChar w:fldCharType="end"/>
      </w:r>
      <w:r w:rsidRPr="00510AD0">
        <w:t xml:space="preserve"> through </w:t>
      </w:r>
      <w:bookmarkStart w:id="611" w:name="DocXTextRef156"/>
      <w:r w:rsidRPr="00510AD0">
        <w:t>(e)</w:t>
      </w:r>
      <w:bookmarkEnd w:id="611"/>
      <w:r w:rsidRPr="00510AD0">
        <w:t xml:space="preserve"> are met.  Seller shall use commercially reasonable efforts to provide Buyer </w:t>
      </w:r>
      <w:bookmarkStart w:id="612" w:name="DocXTextRef157"/>
      <w:r w:rsidRPr="00510AD0">
        <w:t>(a)</w:t>
      </w:r>
      <w:bookmarkEnd w:id="612"/>
      <w:r w:rsidRPr="00510AD0">
        <w:t xml:space="preserve"> Notice at least ten (10) days prior to the effectiveness of any indirect change in control, and shall in any event provide such Notice no later than ten (10) Business Days after the indirect change in control, and </w:t>
      </w:r>
      <w:bookmarkStart w:id="613" w:name="DocXTextRef158"/>
      <w:r w:rsidRPr="00510AD0">
        <w:t>(b)</w:t>
      </w:r>
      <w:bookmarkEnd w:id="613"/>
      <w:r w:rsidRPr="00510AD0">
        <w:t xml:space="preserve"> such other information as Buyer may reasonably request in connection with such change in control.</w:t>
      </w:r>
    </w:p>
    <w:p w14:paraId="3BD67C51" w14:textId="77777777" w:rsidR="0055205C" w:rsidRPr="00510AD0" w:rsidRDefault="0055205C" w:rsidP="0017021E">
      <w:pPr>
        <w:pStyle w:val="Heading2"/>
        <w:rPr>
          <w:vanish/>
          <w:specVanish/>
        </w:rPr>
      </w:pPr>
      <w:bookmarkStart w:id="614" w:name="_Ref69141792"/>
      <w:bookmarkStart w:id="615" w:name="_Toc70208437"/>
      <w:bookmarkStart w:id="616" w:name="_Toc81215087"/>
      <w:bookmarkStart w:id="617" w:name="_Toc78477857"/>
      <w:bookmarkStart w:id="618" w:name="_Toc99035896"/>
      <w:r w:rsidRPr="00510AD0">
        <w:t>Unauthorized Assignment</w:t>
      </w:r>
      <w:bookmarkEnd w:id="614"/>
      <w:bookmarkEnd w:id="615"/>
      <w:bookmarkEnd w:id="616"/>
      <w:bookmarkEnd w:id="617"/>
      <w:bookmarkEnd w:id="618"/>
    </w:p>
    <w:p w14:paraId="2E6C1315" w14:textId="77777777" w:rsidR="0055205C" w:rsidRPr="00510AD0" w:rsidRDefault="0055205C" w:rsidP="00727F6E">
      <w:pPr>
        <w:pStyle w:val="Heading2Continued"/>
      </w:pPr>
      <w:r w:rsidRPr="00510AD0">
        <w:t>.  Any assignment or purported assignment in violation of this Article Seventeen is void.</w:t>
      </w:r>
    </w:p>
    <w:p w14:paraId="0324D670" w14:textId="309485EE" w:rsidR="0055205C" w:rsidRPr="00510AD0" w:rsidRDefault="0055205C" w:rsidP="00B458B6">
      <w:pPr>
        <w:pStyle w:val="Heading1"/>
      </w:pPr>
      <w:bookmarkStart w:id="619" w:name="_Toc70208438"/>
      <w:bookmarkStart w:id="620" w:name="_Toc81215088"/>
      <w:bookmarkStart w:id="621" w:name="_Toc78477858"/>
      <w:bookmarkStart w:id="622" w:name="_Toc99035897"/>
      <w:r w:rsidRPr="00510AD0">
        <w:br/>
      </w:r>
      <w:bookmarkStart w:id="623" w:name="_Ref69141793"/>
      <w:r w:rsidRPr="00510AD0">
        <w:t>DISPUTE RESOLUTION</w:t>
      </w:r>
      <w:bookmarkEnd w:id="619"/>
      <w:bookmarkEnd w:id="620"/>
      <w:bookmarkEnd w:id="621"/>
      <w:bookmarkEnd w:id="622"/>
      <w:bookmarkEnd w:id="623"/>
      <w:r w:rsidR="0071606E" w:rsidRPr="00510AD0">
        <w:rPr>
          <w:rStyle w:val="FootnoteReference"/>
        </w:rPr>
        <w:footnoteReference w:id="36"/>
      </w:r>
    </w:p>
    <w:p w14:paraId="374336F1" w14:textId="77777777" w:rsidR="0055205C" w:rsidRPr="00510AD0" w:rsidRDefault="0055205C" w:rsidP="0017021E">
      <w:pPr>
        <w:pStyle w:val="Heading2"/>
        <w:rPr>
          <w:vanish/>
          <w:specVanish/>
        </w:rPr>
      </w:pPr>
      <w:bookmarkStart w:id="624" w:name="_Ref69141794"/>
      <w:bookmarkStart w:id="625" w:name="_Toc70208439"/>
      <w:bookmarkStart w:id="626" w:name="_Toc81215089"/>
      <w:bookmarkStart w:id="627" w:name="_Toc78477859"/>
      <w:bookmarkStart w:id="628" w:name="_Toc99035898"/>
      <w:r w:rsidRPr="00510AD0">
        <w:t>Intent of the Parties</w:t>
      </w:r>
      <w:bookmarkEnd w:id="624"/>
      <w:bookmarkEnd w:id="625"/>
      <w:bookmarkEnd w:id="626"/>
      <w:bookmarkEnd w:id="627"/>
      <w:bookmarkEnd w:id="628"/>
    </w:p>
    <w:p w14:paraId="289F947F" w14:textId="77777777" w:rsidR="0055205C" w:rsidRPr="00510AD0" w:rsidRDefault="0055205C" w:rsidP="00727F6E">
      <w:pPr>
        <w:pStyle w:val="Heading2Continued"/>
      </w:pPr>
      <w:r w:rsidRPr="00510AD0">
        <w:t>.  Except as provided in the next sentence, the sole procedure to resolve any claim arising out of or relating to this Agreement or any related agreement is the dispute resolution procedure set forth in this Article Eighteen.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0D10878F" w14:textId="77777777" w:rsidR="0055205C" w:rsidRPr="00510AD0" w:rsidRDefault="0055205C" w:rsidP="0017021E">
      <w:pPr>
        <w:pStyle w:val="Heading2"/>
      </w:pPr>
      <w:bookmarkStart w:id="629" w:name="_Ref69141795"/>
      <w:bookmarkStart w:id="630" w:name="_Toc70208440"/>
      <w:bookmarkStart w:id="631" w:name="_Toc81215090"/>
      <w:bookmarkStart w:id="632" w:name="_Toc78477860"/>
      <w:bookmarkStart w:id="633" w:name="_Toc99035899"/>
      <w:r w:rsidRPr="00510AD0">
        <w:t>Management Negotiations.</w:t>
      </w:r>
      <w:bookmarkEnd w:id="629"/>
      <w:bookmarkEnd w:id="630"/>
      <w:bookmarkEnd w:id="631"/>
      <w:bookmarkEnd w:id="632"/>
      <w:bookmarkEnd w:id="633"/>
    </w:p>
    <w:p w14:paraId="4E2D2DFF" w14:textId="77777777" w:rsidR="0055205C" w:rsidRPr="00510AD0" w:rsidRDefault="0055205C" w:rsidP="00D74823">
      <w:pPr>
        <w:pStyle w:val="Heading3"/>
      </w:pPr>
      <w:bookmarkStart w:id="634" w:name="_Ref69141796"/>
      <w:r w:rsidRPr="00510AD0">
        <w:t xml:space="preserve">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w:t>
      </w:r>
      <w:r w:rsidRPr="00510AD0">
        <w:lastRenderedPageBreak/>
        <w:t>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bookmarkEnd w:id="634"/>
    </w:p>
    <w:p w14:paraId="364A808E" w14:textId="77777777" w:rsidR="0055205C" w:rsidRPr="00510AD0" w:rsidRDefault="0055205C" w:rsidP="00D74823">
      <w:pPr>
        <w:pStyle w:val="Heading3"/>
      </w:pPr>
      <w:bookmarkStart w:id="635" w:name="_Ref69141797"/>
      <w:r w:rsidRPr="00510AD0">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bookmarkEnd w:id="635"/>
    </w:p>
    <w:p w14:paraId="63329728" w14:textId="77777777" w:rsidR="0055205C" w:rsidRPr="00510AD0" w:rsidRDefault="0055205C" w:rsidP="00D74823">
      <w:pPr>
        <w:pStyle w:val="Heading3"/>
      </w:pPr>
      <w:bookmarkStart w:id="636" w:name="_Ref69141798"/>
      <w:r w:rsidRPr="00510AD0">
        <w:t>All communication and writing exchanged between the Parties in connection with these negotiations shall be confidential and shall not be used or referred to in any subsequent binding adjudicatory process between the Parties.</w:t>
      </w:r>
      <w:bookmarkEnd w:id="636"/>
    </w:p>
    <w:p w14:paraId="26DDD5FD" w14:textId="1E459B5C" w:rsidR="0055205C" w:rsidRPr="00510AD0" w:rsidRDefault="0055205C" w:rsidP="00D74823">
      <w:pPr>
        <w:pStyle w:val="Heading3"/>
      </w:pPr>
      <w:bookmarkStart w:id="637" w:name="_Ref69141799"/>
      <w:r w:rsidRPr="00510AD0">
        <w:t xml:space="preserve">If the matter is not resolved within forty-five (45) calendar days of the Referral Date, or if the Party receiving the written request to meet, pursuant to Subsection </w:t>
      </w:r>
      <w:r w:rsidR="00286173" w:rsidRPr="00510AD0">
        <w:fldChar w:fldCharType="begin"/>
      </w:r>
      <w:r w:rsidR="00286173" w:rsidRPr="00510AD0">
        <w:instrText xml:space="preserve">  REF _Ref69141797 \w \h \* MERGEFORMAT </w:instrText>
      </w:r>
      <w:r w:rsidR="00286173" w:rsidRPr="00510AD0">
        <w:fldChar w:fldCharType="separate"/>
      </w:r>
      <w:r w:rsidR="007751F5" w:rsidRPr="00510AD0">
        <w:t>18.2(b)</w:t>
      </w:r>
      <w:r w:rsidR="00286173" w:rsidRPr="00510AD0">
        <w:fldChar w:fldCharType="end"/>
      </w:r>
      <w:r w:rsidRPr="00510AD0">
        <w:t xml:space="preserve">, refuses or does not meet within the thirty (30) calendar day period specified in Subsection </w:t>
      </w:r>
      <w:r w:rsidR="00286173" w:rsidRPr="00510AD0">
        <w:fldChar w:fldCharType="begin"/>
      </w:r>
      <w:r w:rsidR="00286173" w:rsidRPr="00510AD0">
        <w:instrText xml:space="preserve">  REF _Ref69141797 \w \h \* MERGEFORMAT </w:instrText>
      </w:r>
      <w:r w:rsidR="00286173" w:rsidRPr="00510AD0">
        <w:fldChar w:fldCharType="separate"/>
      </w:r>
      <w:r w:rsidR="007751F5" w:rsidRPr="00510AD0">
        <w:t>18.2(b)</w:t>
      </w:r>
      <w:r w:rsidR="00286173" w:rsidRPr="00510AD0">
        <w:fldChar w:fldCharType="end"/>
      </w:r>
      <w:r w:rsidRPr="00510AD0">
        <w:t xml:space="preserve">, either Party may initiate mediation of the controversy or claim according to the terms of the following Section </w:t>
      </w:r>
      <w:r w:rsidR="00286173" w:rsidRPr="00510AD0">
        <w:fldChar w:fldCharType="begin"/>
      </w:r>
      <w:r w:rsidR="00286173" w:rsidRPr="00510AD0">
        <w:instrText xml:space="preserve">  REF _Ref69141800 \w \h \* MERGEFORMAT </w:instrText>
      </w:r>
      <w:r w:rsidR="00286173" w:rsidRPr="00510AD0">
        <w:fldChar w:fldCharType="separate"/>
      </w:r>
      <w:r w:rsidR="007751F5" w:rsidRPr="00510AD0">
        <w:t>18.3</w:t>
      </w:r>
      <w:r w:rsidR="00286173" w:rsidRPr="00510AD0">
        <w:fldChar w:fldCharType="end"/>
      </w:r>
      <w:r w:rsidRPr="00510AD0">
        <w:t>.</w:t>
      </w:r>
      <w:bookmarkEnd w:id="637"/>
    </w:p>
    <w:p w14:paraId="27671970" w14:textId="77777777" w:rsidR="0055205C" w:rsidRPr="00510AD0" w:rsidRDefault="0055205C" w:rsidP="0017021E">
      <w:pPr>
        <w:pStyle w:val="Heading2"/>
        <w:rPr>
          <w:vanish/>
          <w:specVanish/>
        </w:rPr>
      </w:pPr>
      <w:bookmarkStart w:id="638" w:name="_Ref69141800"/>
      <w:bookmarkStart w:id="639" w:name="_Toc70208441"/>
      <w:bookmarkStart w:id="640" w:name="_Toc81215091"/>
      <w:bookmarkStart w:id="641" w:name="_Toc78477861"/>
      <w:bookmarkStart w:id="642" w:name="_Toc99035900"/>
      <w:r w:rsidRPr="00510AD0">
        <w:t>Mediation</w:t>
      </w:r>
      <w:bookmarkEnd w:id="638"/>
      <w:bookmarkEnd w:id="639"/>
      <w:bookmarkEnd w:id="640"/>
      <w:bookmarkEnd w:id="641"/>
      <w:bookmarkEnd w:id="642"/>
    </w:p>
    <w:p w14:paraId="39479EF3" w14:textId="2D82CAC5" w:rsidR="0055205C" w:rsidRPr="00510AD0" w:rsidRDefault="0055205C" w:rsidP="00727F6E">
      <w:pPr>
        <w:pStyle w:val="Heading2Continued"/>
      </w:pPr>
      <w:r w:rsidRPr="00510AD0">
        <w:t xml:space="preserve">.  If the dispute cannot be so resolved by negotiation as set forth in Section </w:t>
      </w:r>
      <w:r w:rsidR="00286173" w:rsidRPr="00510AD0">
        <w:fldChar w:fldCharType="begin"/>
      </w:r>
      <w:r w:rsidR="00286173" w:rsidRPr="00510AD0">
        <w:instrText xml:space="preserve">  REF _Ref69141795 \w \h \* MERGEFORMAT </w:instrText>
      </w:r>
      <w:r w:rsidR="00286173" w:rsidRPr="00510AD0">
        <w:fldChar w:fldCharType="separate"/>
      </w:r>
      <w:r w:rsidR="007751F5" w:rsidRPr="00510AD0">
        <w:t>18.2</w:t>
      </w:r>
      <w:r w:rsidR="00286173" w:rsidRPr="00510AD0">
        <w:fldChar w:fldCharType="end"/>
      </w:r>
      <w:r w:rsidRPr="00510AD0">
        <w:t xml:space="preserve">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0BA9B223" w14:textId="77777777" w:rsidR="0055205C" w:rsidRPr="00510AD0" w:rsidRDefault="0055205C" w:rsidP="0017021E">
      <w:pPr>
        <w:pStyle w:val="Heading2"/>
        <w:rPr>
          <w:vanish/>
          <w:specVanish/>
        </w:rPr>
      </w:pPr>
      <w:bookmarkStart w:id="643" w:name="_Ref69141801"/>
      <w:bookmarkStart w:id="644" w:name="_Toc70208442"/>
      <w:bookmarkStart w:id="645" w:name="_Toc81215092"/>
      <w:bookmarkStart w:id="646" w:name="_Toc78477862"/>
      <w:bookmarkStart w:id="647" w:name="_Toc99035901"/>
      <w:r w:rsidRPr="00510AD0">
        <w:t>Arbitration</w:t>
      </w:r>
      <w:bookmarkEnd w:id="643"/>
      <w:bookmarkEnd w:id="644"/>
      <w:bookmarkEnd w:id="645"/>
      <w:bookmarkEnd w:id="646"/>
      <w:bookmarkEnd w:id="647"/>
    </w:p>
    <w:p w14:paraId="0823A4BC" w14:textId="77777777" w:rsidR="0055205C" w:rsidRPr="00510AD0" w:rsidRDefault="0055205C" w:rsidP="00727F6E">
      <w:pPr>
        <w:pStyle w:val="Heading2Continued"/>
      </w:pPr>
      <w:r w:rsidRPr="00510AD0">
        <w:t xml:space="preserve">.  At the request of a Party, the arbitrator shall have the discretion to order depositions of witnesses to the extent the arbitrator deems such discovery relevant and appropriate.  Depositions shall be limited to a maximum of three </w:t>
      </w:r>
      <w:bookmarkStart w:id="648" w:name="DocXTextRef163"/>
      <w:r w:rsidRPr="00510AD0">
        <w:t>(3)</w:t>
      </w:r>
      <w:bookmarkEnd w:id="648"/>
      <w:r w:rsidRPr="00510AD0">
        <w:t xml:space="preserve"> per Party and shall be held within thirty (30) days of the making of a request.  Additional depositions may be scheduled only with the permission of the arbitrator, and for good cause shown.  Each deposition shall be limited </w:t>
      </w:r>
      <w:r w:rsidRPr="00510AD0">
        <w:lastRenderedPageBreak/>
        <w:t>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5A7386BA" w14:textId="77777777" w:rsidR="0055205C" w:rsidRPr="00510AD0" w:rsidRDefault="0055205C" w:rsidP="00D74823">
      <w:pPr>
        <w:pStyle w:val="Heading3"/>
      </w:pPr>
      <w:bookmarkStart w:id="649" w:name="_Ref69141802"/>
      <w:r w:rsidRPr="00510AD0">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bookmarkEnd w:id="649"/>
    </w:p>
    <w:p w14:paraId="1D0483E2" w14:textId="77777777" w:rsidR="0055205C" w:rsidRPr="00510AD0" w:rsidRDefault="0055205C" w:rsidP="00D74823">
      <w:pPr>
        <w:pStyle w:val="Heading3"/>
      </w:pPr>
      <w:bookmarkStart w:id="650" w:name="_Ref69141803"/>
      <w:r w:rsidRPr="00510AD0">
        <w:t>The arbitrator shall have no authority to award punitive or exemplary damages or any other damages other than direct and actual damages and the other remedies contemplated by this Agreement.</w:t>
      </w:r>
      <w:bookmarkEnd w:id="650"/>
    </w:p>
    <w:p w14:paraId="514447AC" w14:textId="77777777" w:rsidR="0055205C" w:rsidRPr="00510AD0" w:rsidRDefault="0055205C" w:rsidP="00D74823">
      <w:pPr>
        <w:pStyle w:val="Heading3"/>
      </w:pPr>
      <w:bookmarkStart w:id="651" w:name="_Ref69141804"/>
      <w:r w:rsidRPr="00510AD0">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510AD0">
        <w:rPr>
          <w:i/>
        </w:rPr>
        <w:t xml:space="preserve">Advanced Micro Devices, Inc. v. Intel Corp., </w:t>
      </w:r>
      <w:bookmarkStart w:id="652" w:name="DocXTextRef164"/>
      <w:r w:rsidRPr="00510AD0">
        <w:rPr>
          <w:i/>
        </w:rPr>
        <w:t>9</w:t>
      </w:r>
      <w:bookmarkEnd w:id="652"/>
      <w:r w:rsidRPr="00510AD0">
        <w:rPr>
          <w:i/>
        </w:rPr>
        <w:t xml:space="preserve"> Cal. 4th </w:t>
      </w:r>
      <w:bookmarkStart w:id="653" w:name="DocXTextRef165"/>
      <w:r w:rsidRPr="00510AD0">
        <w:rPr>
          <w:i/>
        </w:rPr>
        <w:t>362</w:t>
      </w:r>
      <w:bookmarkEnd w:id="653"/>
      <w:r w:rsidRPr="00510AD0">
        <w:rPr>
          <w:i/>
        </w:rPr>
        <w:t xml:space="preserve"> (1994)</w:t>
      </w:r>
      <w:r w:rsidRPr="00510AD0">
        <w:t>, and, except as modified by this Agreement, intend to limit the power of the arbitrator to that of a Superior Court judge enforcing California Law.  The prevailing Party in this dispute resolution process is entitled to recover its costs and reasonable attorneys’ fees.</w:t>
      </w:r>
      <w:bookmarkEnd w:id="651"/>
    </w:p>
    <w:p w14:paraId="437E71C4" w14:textId="77777777" w:rsidR="0055205C" w:rsidRPr="00510AD0" w:rsidRDefault="0055205C" w:rsidP="00D74823">
      <w:pPr>
        <w:pStyle w:val="Heading3"/>
      </w:pPr>
      <w:bookmarkStart w:id="654" w:name="_Ref69141805"/>
      <w:r w:rsidRPr="00510AD0">
        <w:t>The arbitrator shall have the authority to grant dispositive motions prior to the commencement of or following the completion of discovery if the arbitrator concludes that there is no material issue of fact pending before him.</w:t>
      </w:r>
      <w:bookmarkEnd w:id="654"/>
      <w:r w:rsidRPr="00510AD0">
        <w:t xml:space="preserve">  </w:t>
      </w:r>
    </w:p>
    <w:p w14:paraId="64DF55B3" w14:textId="77777777" w:rsidR="0055205C" w:rsidRPr="00510AD0" w:rsidRDefault="0055205C" w:rsidP="00D74823">
      <w:pPr>
        <w:pStyle w:val="Heading3"/>
      </w:pPr>
      <w:bookmarkStart w:id="655" w:name="_Ref69141806"/>
      <w:r w:rsidRPr="00510AD0">
        <w:t>Except as may be required by Law, neither a Party nor an arbitrator may disclose the existence, content, or results of any Arbitration hereunder without the prior written consent of both Parties.</w:t>
      </w:r>
      <w:bookmarkEnd w:id="655"/>
    </w:p>
    <w:p w14:paraId="66E7AAA3" w14:textId="77777777" w:rsidR="0055205C" w:rsidRPr="00510AD0" w:rsidRDefault="0055205C" w:rsidP="00B458B6">
      <w:pPr>
        <w:pStyle w:val="Heading1"/>
      </w:pPr>
      <w:bookmarkStart w:id="656" w:name="_Toc70208443"/>
      <w:bookmarkStart w:id="657" w:name="_Toc81215093"/>
      <w:bookmarkStart w:id="658" w:name="_Toc78477863"/>
      <w:bookmarkStart w:id="659" w:name="_Toc99035902"/>
      <w:r w:rsidRPr="00510AD0">
        <w:br/>
      </w:r>
      <w:bookmarkStart w:id="660" w:name="_Ref69141807"/>
      <w:r w:rsidRPr="00510AD0">
        <w:t>CONFIDENTIALITY</w:t>
      </w:r>
      <w:bookmarkEnd w:id="656"/>
      <w:bookmarkEnd w:id="657"/>
      <w:bookmarkEnd w:id="658"/>
      <w:bookmarkEnd w:id="659"/>
      <w:bookmarkEnd w:id="660"/>
    </w:p>
    <w:p w14:paraId="608A1DA8" w14:textId="77777777" w:rsidR="0055205C" w:rsidRPr="00510AD0" w:rsidRDefault="0055205C" w:rsidP="0017021E">
      <w:pPr>
        <w:pStyle w:val="Heading2"/>
        <w:rPr>
          <w:vanish/>
          <w:specVanish/>
        </w:rPr>
      </w:pPr>
      <w:bookmarkStart w:id="661" w:name="_Ref69141808"/>
      <w:bookmarkStart w:id="662" w:name="_Toc70208444"/>
      <w:bookmarkStart w:id="663" w:name="_Toc81215094"/>
      <w:bookmarkStart w:id="664" w:name="_Toc78477864"/>
      <w:bookmarkStart w:id="665" w:name="_Toc99035903"/>
      <w:r w:rsidRPr="00510AD0">
        <w:t>Confidential Information</w:t>
      </w:r>
      <w:bookmarkEnd w:id="661"/>
      <w:bookmarkEnd w:id="662"/>
      <w:bookmarkEnd w:id="663"/>
      <w:bookmarkEnd w:id="664"/>
      <w:bookmarkEnd w:id="665"/>
    </w:p>
    <w:p w14:paraId="2DA0AC32" w14:textId="3B7374CE" w:rsidR="0055205C" w:rsidRPr="00510AD0" w:rsidRDefault="0055205C" w:rsidP="00727F6E">
      <w:pPr>
        <w:pStyle w:val="Heading2Continued"/>
      </w:pPr>
      <w:r w:rsidRPr="00510AD0">
        <w:t>.  Throughout the Term, neither Party shall disclose the non-public terms or conditions of this Agreement or the Parties’ bidding or negotiation process (the “Confidential Information”) to a third party</w:t>
      </w:r>
      <w:r w:rsidR="00F5209F">
        <w:t xml:space="preserve"> except as provided in this Article 19</w:t>
      </w:r>
      <w:r w:rsidRPr="00510AD0">
        <w:t xml:space="preserve">.  </w:t>
      </w:r>
    </w:p>
    <w:p w14:paraId="07FABECD" w14:textId="77777777" w:rsidR="0055205C" w:rsidRPr="00510AD0" w:rsidRDefault="0055205C" w:rsidP="0017021E">
      <w:pPr>
        <w:pStyle w:val="Heading2"/>
        <w:rPr>
          <w:vanish/>
          <w:specVanish/>
        </w:rPr>
      </w:pPr>
      <w:bookmarkStart w:id="666" w:name="_Ref69141809"/>
      <w:bookmarkStart w:id="667" w:name="_Ref69142693"/>
      <w:bookmarkStart w:id="668" w:name="_Toc70208445"/>
      <w:bookmarkStart w:id="669" w:name="_Toc81215095"/>
      <w:bookmarkStart w:id="670" w:name="_Toc78477865"/>
      <w:bookmarkStart w:id="671" w:name="_Toc99035904"/>
      <w:r w:rsidRPr="00510AD0">
        <w:t>Permitted Disclosures</w:t>
      </w:r>
      <w:bookmarkEnd w:id="666"/>
      <w:bookmarkEnd w:id="667"/>
      <w:bookmarkEnd w:id="668"/>
      <w:bookmarkEnd w:id="669"/>
      <w:bookmarkEnd w:id="670"/>
      <w:bookmarkEnd w:id="671"/>
    </w:p>
    <w:p w14:paraId="397680A3" w14:textId="77777777" w:rsidR="0055205C" w:rsidRPr="00510AD0" w:rsidRDefault="0055205C" w:rsidP="00727F6E">
      <w:pPr>
        <w:pStyle w:val="Heading2Continued"/>
      </w:pPr>
      <w:r w:rsidRPr="00510AD0">
        <w:t xml:space="preserve">.  </w:t>
      </w:r>
    </w:p>
    <w:p w14:paraId="1231AF9B" w14:textId="352A40F8" w:rsidR="0055205C" w:rsidRPr="00510AD0" w:rsidRDefault="0055205C" w:rsidP="00D74823">
      <w:pPr>
        <w:pStyle w:val="Heading3"/>
      </w:pPr>
      <w:bookmarkStart w:id="672" w:name="_Ref69141810"/>
      <w:r w:rsidRPr="00510AD0">
        <w:rPr>
          <w:u w:val="single"/>
        </w:rPr>
        <w:t>Permitted Disclosures</w:t>
      </w:r>
      <w:r w:rsidRPr="00510AD0">
        <w:t xml:space="preserve">. A Party may disclose Confidential Information: </w:t>
      </w:r>
      <w:bookmarkStart w:id="673" w:name="DocXTextRef168"/>
      <w:r w:rsidRPr="00510AD0">
        <w:t>(</w:t>
      </w:r>
      <w:r w:rsidR="00A85FCF" w:rsidRPr="00510AD0">
        <w:t>i</w:t>
      </w:r>
      <w:r w:rsidRPr="00510AD0">
        <w:t>)</w:t>
      </w:r>
      <w:bookmarkEnd w:id="673"/>
      <w:r w:rsidRPr="00510AD0">
        <w:t xml:space="preserve"> in the case of Seller, to Seller’s Affiliates</w:t>
      </w:r>
      <w:r w:rsidR="00DB500D" w:rsidRPr="00510AD0">
        <w:t xml:space="preserve"> </w:t>
      </w:r>
      <w:r w:rsidRPr="00510AD0">
        <w:t xml:space="preserve">and the Project Company but solely to the extent necessary for Seller to comply with its obligations under this Agreement and Seller’s and its </w:t>
      </w:r>
      <w:r w:rsidRPr="00510AD0">
        <w:lastRenderedPageBreak/>
        <w:t xml:space="preserve">Affiliates’ employees, counsel, accountants, advisors, lenders, prospective lenders, equity investors, or prospective equity investors who have a need to know such information and have agreed to keep such terms confidential; </w:t>
      </w:r>
      <w:bookmarkStart w:id="674" w:name="DocXTextRef169"/>
      <w:r w:rsidRPr="00510AD0">
        <w:t>(</w:t>
      </w:r>
      <w:r w:rsidR="00A85FCF" w:rsidRPr="00510AD0">
        <w:t>ii</w:t>
      </w:r>
      <w:r w:rsidRPr="00510AD0">
        <w:t>)</w:t>
      </w:r>
      <w:bookmarkEnd w:id="674"/>
      <w:r w:rsidRPr="00510AD0">
        <w:t xml:space="preserve"> in the case of Buyer, to Buyer’s Affiliates and Buyer’s and its Affiliates’ employees, counsel, accountants, advisors, lenders, prospective lenders, equity investors, or prospective equity investors who have a need to know such information and have agreed to keep such terms confidential, provided however that </w:t>
      </w:r>
      <w:bookmarkStart w:id="675" w:name="_Hlk64990669"/>
      <w:r w:rsidRPr="00510AD0">
        <w:t xml:space="preserve">competitive Confidential Information received by Buyer from load serving entities, generators, third-party power marketers or demand response providers, or from the CAISO related to any of the foregoing, in connection with Buyer’s performance of its duties as Central Procurement Entity, shall be limited to Buyer’s employees, counsel, accountants and advisors who are responsible for performing or administratively supporting Buyer’s Central Procurement Entity responsibilities in accordance with the CPUC Decisions; </w:t>
      </w:r>
      <w:bookmarkStart w:id="676" w:name="DocXTextRef170"/>
      <w:r w:rsidRPr="00510AD0">
        <w:t>(</w:t>
      </w:r>
      <w:r w:rsidR="00A85FCF" w:rsidRPr="00510AD0">
        <w:t>iii</w:t>
      </w:r>
      <w:r w:rsidRPr="00510AD0">
        <w:t>)</w:t>
      </w:r>
      <w:bookmarkEnd w:id="676"/>
      <w:r w:rsidRPr="00510AD0">
        <w:t xml:space="preserve"> to Buyer’s Cost Allocation Mechanism Procurement Review Group, as defined in CPUC Decision (D.) </w:t>
      </w:r>
      <w:bookmarkStart w:id="677" w:name="DocXTextRef167"/>
      <w:r w:rsidRPr="00510AD0">
        <w:t>07</w:t>
      </w:r>
      <w:bookmarkEnd w:id="677"/>
      <w:r w:rsidRPr="00510AD0">
        <w:t xml:space="preserve">-12-052 and made applicable to this Agreement by the </w:t>
      </w:r>
      <w:r w:rsidR="008D3BA7" w:rsidRPr="00510AD0">
        <w:t>Local RA Central Procurement Decisions</w:t>
      </w:r>
      <w:r w:rsidRPr="00510AD0">
        <w:t xml:space="preserve">; </w:t>
      </w:r>
      <w:bookmarkStart w:id="678" w:name="DocXTextRef171"/>
      <w:r w:rsidRPr="00510AD0">
        <w:t>(</w:t>
      </w:r>
      <w:r w:rsidR="00A85FCF" w:rsidRPr="00510AD0">
        <w:t>iv</w:t>
      </w:r>
      <w:r w:rsidRPr="00510AD0">
        <w:t>)</w:t>
      </w:r>
      <w:bookmarkEnd w:id="675"/>
      <w:bookmarkEnd w:id="678"/>
      <w:r w:rsidRPr="00510AD0">
        <w:t xml:space="preserve"> to the CPUC (including CPUC staff) under seal for purposes of review (if such seal is applicable to the nature of the Confidential Information); </w:t>
      </w:r>
      <w:bookmarkStart w:id="679" w:name="DocXTextRef172"/>
      <w:r w:rsidRPr="00510AD0">
        <w:t>(</w:t>
      </w:r>
      <w:r w:rsidR="00A85FCF" w:rsidRPr="00510AD0">
        <w:t>v</w:t>
      </w:r>
      <w:r w:rsidRPr="00510AD0">
        <w:t>)</w:t>
      </w:r>
      <w:bookmarkEnd w:id="679"/>
      <w:r w:rsidRPr="00510AD0">
        <w:t xml:space="preserve"> pursuant to Section </w:t>
      </w:r>
      <w:r w:rsidR="00286173" w:rsidRPr="00510AD0">
        <w:fldChar w:fldCharType="begin"/>
      </w:r>
      <w:r w:rsidR="00286173" w:rsidRPr="00510AD0">
        <w:instrText xml:space="preserve">  REF _Ref69141813 \w \h \* MERGEFORMAT </w:instrText>
      </w:r>
      <w:r w:rsidR="00286173" w:rsidRPr="00510AD0">
        <w:fldChar w:fldCharType="separate"/>
      </w:r>
      <w:r w:rsidR="007751F5" w:rsidRPr="00510AD0">
        <w:t>19.4</w:t>
      </w:r>
      <w:r w:rsidR="00286173" w:rsidRPr="00510AD0">
        <w:fldChar w:fldCharType="end"/>
      </w:r>
      <w:r w:rsidRPr="00510AD0">
        <w:t xml:space="preserve">; </w:t>
      </w:r>
      <w:bookmarkStart w:id="680" w:name="DocXTextRef173"/>
      <w:r w:rsidRPr="00510AD0">
        <w:t>(</w:t>
      </w:r>
      <w:r w:rsidR="00A85FCF" w:rsidRPr="00510AD0">
        <w:t>vi</w:t>
      </w:r>
      <w:r w:rsidRPr="00510AD0">
        <w:t>)</w:t>
      </w:r>
      <w:bookmarkEnd w:id="680"/>
      <w:r w:rsidRPr="00510AD0">
        <w:t xml:space="preserve"> in order to comply with any applicable Law or any exchange, regulation, Balancing Authority, control area or Transmission Provider rule, or order issued by a court or entity with competent jurisdiction over the disclosing Party (“Disclosing Party”), other than to those entities set forth in subsection (</w:t>
      </w:r>
      <w:r w:rsidR="00A85FCF" w:rsidRPr="00510AD0">
        <w:t>vii</w:t>
      </w:r>
      <w:r w:rsidRPr="00510AD0">
        <w:t xml:space="preserve">); </w:t>
      </w:r>
      <w:bookmarkStart w:id="681" w:name="DocXTextRef174"/>
      <w:r w:rsidRPr="00510AD0">
        <w:t>(</w:t>
      </w:r>
      <w:r w:rsidR="00A85FCF" w:rsidRPr="00510AD0">
        <w:t>vii</w:t>
      </w:r>
      <w:r w:rsidRPr="00510AD0">
        <w:t>)</w:t>
      </w:r>
      <w:bookmarkEnd w:id="681"/>
      <w:r w:rsidRPr="00510AD0">
        <w:t xml:space="preserve"> in order to comply with any applicable regulation, rule, or order of the CPUC, CEC, or FERC; </w:t>
      </w:r>
      <w:bookmarkStart w:id="682" w:name="DocXTextRef175"/>
      <w:r w:rsidRPr="00510AD0">
        <w:t>(</w:t>
      </w:r>
      <w:r w:rsidR="00A85FCF" w:rsidRPr="00510AD0">
        <w:t>viii</w:t>
      </w:r>
      <w:r w:rsidRPr="00510AD0">
        <w:t>)</w:t>
      </w:r>
      <w:bookmarkEnd w:id="682"/>
      <w:r w:rsidRPr="00510AD0">
        <w:t xml:space="preserve"> as Buyer deems necessary in order to demonstrate the reasonableness of its actions to a duly authorized Governmental Authority including the CPUC or any division thereof; </w:t>
      </w:r>
      <w:bookmarkStart w:id="683" w:name="DocXTextRef176"/>
      <w:r w:rsidRPr="00510AD0">
        <w:t>(</w:t>
      </w:r>
      <w:r w:rsidR="00A85FCF" w:rsidRPr="00510AD0">
        <w:t>ix</w:t>
      </w:r>
      <w:r w:rsidRPr="00510AD0">
        <w:t>)</w:t>
      </w:r>
      <w:bookmarkEnd w:id="683"/>
      <w:r w:rsidRPr="00510AD0">
        <w:t xml:space="preserve"> to the Independent Evaluator, as defined and specified in the Protocol; or </w:t>
      </w:r>
      <w:bookmarkStart w:id="684" w:name="DocXTextRef177"/>
      <w:r w:rsidRPr="00510AD0">
        <w:t>(</w:t>
      </w:r>
      <w:r w:rsidR="00A85FCF" w:rsidRPr="00510AD0">
        <w:t>x</w:t>
      </w:r>
      <w:r w:rsidRPr="00510AD0">
        <w:t>)</w:t>
      </w:r>
      <w:bookmarkEnd w:id="684"/>
      <w:r w:rsidRPr="00510AD0">
        <w:t xml:space="preserve"> to the extent necessary for Buyer to exercise its exclusive rights to the Product during the Delivery Term other than the Contract Price.</w:t>
      </w:r>
      <w:bookmarkEnd w:id="672"/>
    </w:p>
    <w:p w14:paraId="172A7E3D" w14:textId="1F0F590B" w:rsidR="0055205C" w:rsidRPr="00510AD0" w:rsidRDefault="0055205C" w:rsidP="00D74823">
      <w:pPr>
        <w:pStyle w:val="Heading3"/>
      </w:pPr>
      <w:bookmarkStart w:id="685" w:name="_Ref69141811"/>
      <w:r w:rsidRPr="00510AD0">
        <w:rPr>
          <w:u w:val="single"/>
        </w:rPr>
        <w:t>Procedure for Permitted Disclosures</w:t>
      </w:r>
      <w:r w:rsidRPr="00510AD0">
        <w:t xml:space="preserve">.  In connection with requests made pursuant to Section </w:t>
      </w:r>
      <w:bookmarkStart w:id="686" w:name="DocXTextRef178"/>
      <w:r w:rsidR="0032688A" w:rsidRPr="00510AD0">
        <w:fldChar w:fldCharType="begin"/>
      </w:r>
      <w:r w:rsidR="0032688A" w:rsidRPr="00510AD0">
        <w:instrText xml:space="preserve"> REF _Ref69142693 \r \h </w:instrText>
      </w:r>
      <w:r w:rsidR="00510AD0">
        <w:instrText xml:space="preserve"> \* MERGEFORMAT </w:instrText>
      </w:r>
      <w:r w:rsidR="0032688A" w:rsidRPr="00510AD0">
        <w:fldChar w:fldCharType="separate"/>
      </w:r>
      <w:r w:rsidR="007751F5" w:rsidRPr="00510AD0">
        <w:t>19.2</w:t>
      </w:r>
      <w:r w:rsidR="0032688A" w:rsidRPr="00510AD0">
        <w:fldChar w:fldCharType="end"/>
      </w:r>
      <w:r w:rsidRPr="00510AD0">
        <w:t>(</w:t>
      </w:r>
      <w:r w:rsidR="00A85FCF" w:rsidRPr="00510AD0">
        <w:t>v</w:t>
      </w:r>
      <w:r w:rsidRPr="00510AD0">
        <w:t>)</w:t>
      </w:r>
      <w:bookmarkEnd w:id="686"/>
      <w:r w:rsidRPr="00510AD0">
        <w:t xml:space="preserve"> and disclosures pursuant to Section</w:t>
      </w:r>
      <w:r w:rsidR="00A85FCF" w:rsidRPr="00510AD0">
        <w:t xml:space="preserve"> 19.2(vi)</w:t>
      </w:r>
      <w:r w:rsidRPr="00510AD0">
        <w:t xml:space="preserve"> (“Regulatory Disclosure”) each Party shall, to the extent practicable, use reasonable efforts to: </w:t>
      </w:r>
      <w:bookmarkStart w:id="687" w:name="DocXTextRef181"/>
      <w:r w:rsidRPr="00510AD0">
        <w:t>(A)</w:t>
      </w:r>
      <w:bookmarkEnd w:id="687"/>
      <w:r w:rsidRPr="00510AD0">
        <w:t xml:space="preserve"> notify the other Party prior to disclosing the Confidential Information and </w:t>
      </w:r>
      <w:bookmarkStart w:id="688" w:name="DocXTextRef182"/>
      <w:r w:rsidRPr="00510AD0">
        <w:t>(B)</w:t>
      </w:r>
      <w:bookmarkEnd w:id="688"/>
      <w:r w:rsidRPr="00510AD0">
        <w:t xml:space="preserve"> prevent or limit such disclosure.  After using such reasonable efforts, the Disclosing Party shall not be: </w:t>
      </w:r>
      <w:bookmarkStart w:id="689" w:name="DocXTextRef183"/>
      <w:r w:rsidRPr="00510AD0">
        <w:t>(I)</w:t>
      </w:r>
      <w:bookmarkEnd w:id="689"/>
      <w:r w:rsidRPr="00510AD0">
        <w:t xml:space="preserve"> prohibited from making the Regulatory Disclosure or (II) liable to the other Party for monetary or other damages incurred in connection with such disclosures of the Confidential Information.</w:t>
      </w:r>
      <w:bookmarkEnd w:id="685"/>
      <w:r w:rsidRPr="00510AD0">
        <w:t xml:space="preserve">  </w:t>
      </w:r>
    </w:p>
    <w:p w14:paraId="5439B516" w14:textId="77777777" w:rsidR="0055205C" w:rsidRPr="00510AD0" w:rsidRDefault="0055205C" w:rsidP="0017021E">
      <w:pPr>
        <w:pStyle w:val="Heading2"/>
        <w:rPr>
          <w:vanish/>
          <w:specVanish/>
        </w:rPr>
      </w:pPr>
      <w:bookmarkStart w:id="690" w:name="_Ref69141812"/>
      <w:bookmarkStart w:id="691" w:name="_Toc70208446"/>
      <w:bookmarkStart w:id="692" w:name="_Toc81215096"/>
      <w:bookmarkStart w:id="693" w:name="_Toc78477866"/>
      <w:bookmarkStart w:id="694" w:name="_Toc99035905"/>
      <w:r w:rsidRPr="00510AD0">
        <w:t>Remedies</w:t>
      </w:r>
      <w:bookmarkEnd w:id="690"/>
      <w:bookmarkEnd w:id="691"/>
      <w:bookmarkEnd w:id="692"/>
      <w:bookmarkEnd w:id="693"/>
      <w:bookmarkEnd w:id="694"/>
    </w:p>
    <w:p w14:paraId="44E4FF68" w14:textId="274F1E86" w:rsidR="0055205C" w:rsidRPr="00510AD0" w:rsidRDefault="0055205C" w:rsidP="00727F6E">
      <w:pPr>
        <w:pStyle w:val="Heading2Continued"/>
      </w:pPr>
      <w:r w:rsidRPr="00510AD0">
        <w:t xml:space="preserve">. Except as provided in Section </w:t>
      </w:r>
      <w:r w:rsidR="00286173" w:rsidRPr="00510AD0">
        <w:fldChar w:fldCharType="begin"/>
      </w:r>
      <w:r w:rsidR="00286173" w:rsidRPr="00510AD0">
        <w:instrText xml:space="preserve">  REF _Ref69141809 \w \h \* MERGEFORMAT </w:instrText>
      </w:r>
      <w:r w:rsidR="00286173" w:rsidRPr="00510AD0">
        <w:fldChar w:fldCharType="separate"/>
      </w:r>
      <w:r w:rsidR="007751F5" w:rsidRPr="00510AD0">
        <w:t>19.2</w:t>
      </w:r>
      <w:r w:rsidR="00286173" w:rsidRPr="00510AD0">
        <w:fldChar w:fldCharType="end"/>
      </w:r>
      <w:r w:rsidRPr="00510AD0">
        <w:t xml:space="preserve"> with respect to the Parties’ permitted disclosures, the Parties shall be entitled to all remedies available at Law or in equity to enforce, or seek relief in connection with, this confidentiality obligation.  </w:t>
      </w:r>
    </w:p>
    <w:p w14:paraId="202720A2" w14:textId="77777777" w:rsidR="0055205C" w:rsidRPr="00510AD0" w:rsidRDefault="0055205C" w:rsidP="0017021E">
      <w:pPr>
        <w:pStyle w:val="Heading2"/>
        <w:rPr>
          <w:vanish/>
          <w:specVanish/>
        </w:rPr>
      </w:pPr>
      <w:bookmarkStart w:id="695" w:name="_Ref69141813"/>
      <w:bookmarkStart w:id="696" w:name="_Toc70208447"/>
      <w:bookmarkStart w:id="697" w:name="_Toc81215097"/>
      <w:bookmarkStart w:id="698" w:name="_Toc78477867"/>
      <w:bookmarkStart w:id="699" w:name="_Toc99035906"/>
      <w:r w:rsidRPr="00510AD0">
        <w:t>Exceptions</w:t>
      </w:r>
      <w:bookmarkEnd w:id="695"/>
      <w:bookmarkEnd w:id="696"/>
      <w:bookmarkEnd w:id="697"/>
      <w:bookmarkEnd w:id="698"/>
      <w:bookmarkEnd w:id="699"/>
    </w:p>
    <w:p w14:paraId="181BB741" w14:textId="2AD7B31E" w:rsidR="0055205C" w:rsidRPr="00510AD0" w:rsidRDefault="0055205C" w:rsidP="001C12AE">
      <w:pPr>
        <w:pStyle w:val="Heading2Continued"/>
      </w:pPr>
      <w:r w:rsidRPr="00510AD0">
        <w:t xml:space="preserve">.  </w:t>
      </w:r>
      <w:r w:rsidR="001C12AE" w:rsidRPr="00510AD0">
        <w:t>[</w:t>
      </w:r>
      <w:r w:rsidR="00FB2ADB" w:rsidRPr="00510AD0">
        <w:rPr>
          <w:rFonts w:eastAsia="Calibri"/>
        </w:rPr>
        <w:t>Notwithstanding</w:t>
      </w:r>
      <w:r w:rsidR="009C4788" w:rsidRPr="00510AD0">
        <w:rPr>
          <w:rFonts w:eastAsia="Calibri"/>
        </w:rPr>
        <w:t xml:space="preserve"> Section </w:t>
      </w:r>
      <w:r w:rsidR="008A02B1" w:rsidRPr="00510AD0">
        <w:rPr>
          <w:rFonts w:eastAsia="Calibri"/>
        </w:rPr>
        <w:fldChar w:fldCharType="begin"/>
      </w:r>
      <w:r w:rsidR="008A02B1" w:rsidRPr="00510AD0">
        <w:rPr>
          <w:rFonts w:eastAsia="Calibri"/>
        </w:rPr>
        <w:instrText xml:space="preserve"> REF _Ref69141808 \w \h </w:instrText>
      </w:r>
      <w:r w:rsidR="00510AD0">
        <w:rPr>
          <w:rFonts w:eastAsia="Calibri"/>
        </w:rPr>
        <w:instrText xml:space="preserve"> \* MERGEFORMAT </w:instrText>
      </w:r>
      <w:r w:rsidR="008A02B1" w:rsidRPr="00510AD0">
        <w:rPr>
          <w:rFonts w:eastAsia="Calibri"/>
        </w:rPr>
      </w:r>
      <w:r w:rsidR="008A02B1" w:rsidRPr="00510AD0">
        <w:rPr>
          <w:rFonts w:eastAsia="Calibri"/>
        </w:rPr>
        <w:fldChar w:fldCharType="separate"/>
      </w:r>
      <w:r w:rsidR="008A02B1" w:rsidRPr="00510AD0">
        <w:rPr>
          <w:rFonts w:eastAsia="Calibri"/>
        </w:rPr>
        <w:t>19.1</w:t>
      </w:r>
      <w:r w:rsidR="008A02B1" w:rsidRPr="00510AD0">
        <w:rPr>
          <w:rFonts w:eastAsia="Calibri"/>
        </w:rPr>
        <w:fldChar w:fldCharType="end"/>
      </w:r>
      <w:r w:rsidR="009C4788" w:rsidRPr="00510AD0">
        <w:rPr>
          <w:rFonts w:eastAsia="Calibri"/>
        </w:rPr>
        <w:t xml:space="preserve"> of this Agreement, any time on or after the date on</w:t>
      </w:r>
      <w:r w:rsidR="00515D36" w:rsidRPr="00510AD0">
        <w:rPr>
          <w:rFonts w:eastAsia="Calibri"/>
        </w:rPr>
        <w:t xml:space="preserve"> which Buyer makes its filing seeking CPUC Approval of this Agreement</w:t>
      </w:r>
      <w:r w:rsidR="00201A2C" w:rsidRPr="00510AD0">
        <w:rPr>
          <w:rFonts w:eastAsia="Calibri"/>
        </w:rPr>
        <w:t xml:space="preserve">, either Party shall be permitted to disclose those terms required to be made public by the CPUC in its then-current application or advice 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w:t>
      </w:r>
      <w:r w:rsidR="00201A2C" w:rsidRPr="00510AD0">
        <w:rPr>
          <w:rFonts w:eastAsia="Calibri"/>
        </w:rPr>
        <w:lastRenderedPageBreak/>
        <w:t>confidentiality protections and that Buyer shall be held harmless with respect to such disclosure.</w:t>
      </w:r>
      <w:r w:rsidR="00120E66" w:rsidRPr="00510AD0">
        <w:rPr>
          <w:rFonts w:eastAsia="Calibri"/>
        </w:rPr>
        <w:t>]</w:t>
      </w:r>
      <w:r w:rsidR="00120E66" w:rsidRPr="00510AD0">
        <w:rPr>
          <w:rStyle w:val="FootnoteReference"/>
          <w:rFonts w:eastAsia="Calibri"/>
        </w:rPr>
        <w:footnoteReference w:id="37"/>
      </w:r>
      <w:r w:rsidR="00A85FCF" w:rsidRPr="00510AD0">
        <w:t>.</w:t>
      </w:r>
    </w:p>
    <w:p w14:paraId="7B95CD95" w14:textId="77777777" w:rsidR="0055205C" w:rsidRPr="00510AD0" w:rsidRDefault="0055205C" w:rsidP="0017021E">
      <w:pPr>
        <w:pStyle w:val="Heading2"/>
        <w:rPr>
          <w:vanish/>
          <w:specVanish/>
        </w:rPr>
      </w:pPr>
      <w:bookmarkStart w:id="700" w:name="_Ref69141816"/>
      <w:bookmarkStart w:id="701" w:name="_Toc70208448"/>
      <w:bookmarkStart w:id="702" w:name="_Toc81215098"/>
      <w:bookmarkStart w:id="703" w:name="_Toc78477868"/>
      <w:bookmarkStart w:id="704" w:name="_Toc99035907"/>
      <w:r w:rsidRPr="00510AD0">
        <w:t>Other Confidential Information</w:t>
      </w:r>
      <w:bookmarkEnd w:id="700"/>
      <w:bookmarkEnd w:id="701"/>
      <w:bookmarkEnd w:id="702"/>
      <w:bookmarkEnd w:id="703"/>
      <w:bookmarkEnd w:id="704"/>
    </w:p>
    <w:p w14:paraId="3CFCB594" w14:textId="77777777" w:rsidR="0055205C" w:rsidRPr="00510AD0" w:rsidRDefault="0055205C" w:rsidP="00727F6E">
      <w:pPr>
        <w:pStyle w:val="Heading2Continued"/>
      </w:pPr>
      <w:r w:rsidRPr="00510AD0">
        <w:t>.  The Parties agree that the confidentiality provisions under this Article Nineteen are separate from, and shall not impair or modify any other confidentiality agreements that may be in place between 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   [In the case of Behind the Meter Project, Seller shall comply with all applicable laws and regulations relating to the protection of customer-specific information and data, including California Public Utilities Code Section 8380, et seq. and the “Rules Regarding Privacy and Security Protections for Energy Usage Data” adopted by the California Public Utilities Commission.]</w:t>
      </w:r>
    </w:p>
    <w:p w14:paraId="45CED0B2" w14:textId="77777777" w:rsidR="0055205C" w:rsidRPr="00510AD0" w:rsidRDefault="0055205C" w:rsidP="00B458B6">
      <w:pPr>
        <w:pStyle w:val="Heading1"/>
      </w:pPr>
      <w:bookmarkStart w:id="705" w:name="_Toc70208449"/>
      <w:bookmarkStart w:id="706" w:name="_Toc81215099"/>
      <w:bookmarkStart w:id="707" w:name="_Toc78477869"/>
      <w:bookmarkStart w:id="708" w:name="_Toc99035908"/>
      <w:r w:rsidRPr="00510AD0">
        <w:br/>
      </w:r>
      <w:bookmarkStart w:id="709" w:name="_Ref69141817"/>
      <w:r w:rsidRPr="00510AD0">
        <w:t>GENERAL PROVISIONS</w:t>
      </w:r>
      <w:bookmarkEnd w:id="705"/>
      <w:bookmarkEnd w:id="706"/>
      <w:bookmarkEnd w:id="707"/>
      <w:bookmarkEnd w:id="708"/>
      <w:bookmarkEnd w:id="709"/>
    </w:p>
    <w:p w14:paraId="2A292604" w14:textId="77777777" w:rsidR="0055205C" w:rsidRPr="00510AD0" w:rsidRDefault="0055205C" w:rsidP="0017021E">
      <w:pPr>
        <w:pStyle w:val="Heading2"/>
        <w:rPr>
          <w:vanish/>
          <w:specVanish/>
        </w:rPr>
      </w:pPr>
      <w:bookmarkStart w:id="710" w:name="_Ref69141818"/>
      <w:bookmarkStart w:id="711" w:name="_Toc70208450"/>
      <w:bookmarkStart w:id="712" w:name="_Toc81215100"/>
      <w:bookmarkStart w:id="713" w:name="_Toc78477870"/>
      <w:bookmarkStart w:id="714" w:name="_Toc99035909"/>
      <w:r w:rsidRPr="00510AD0">
        <w:t>General; Amendments</w:t>
      </w:r>
      <w:bookmarkEnd w:id="710"/>
      <w:bookmarkEnd w:id="711"/>
      <w:bookmarkEnd w:id="712"/>
      <w:bookmarkEnd w:id="713"/>
      <w:bookmarkEnd w:id="714"/>
    </w:p>
    <w:p w14:paraId="07A429C5" w14:textId="77777777" w:rsidR="0055205C" w:rsidRPr="00510AD0" w:rsidRDefault="0055205C" w:rsidP="00727F6E">
      <w:pPr>
        <w:pStyle w:val="Heading2Continued"/>
      </w:pPr>
      <w:r w:rsidRPr="00510AD0">
        <w:t xml:space="preserve">.  </w:t>
      </w:r>
    </w:p>
    <w:p w14:paraId="3FE31487" w14:textId="7D26783C" w:rsidR="0055205C" w:rsidRPr="00510AD0" w:rsidRDefault="0055205C" w:rsidP="00D74823">
      <w:pPr>
        <w:pStyle w:val="Heading3"/>
      </w:pPr>
      <w:bookmarkStart w:id="715" w:name="_Ref69141819"/>
      <w:r w:rsidRPr="00510AD0">
        <w:rPr>
          <w:u w:val="single"/>
        </w:rPr>
        <w:t>General</w:t>
      </w:r>
      <w:r w:rsidRPr="00510AD0">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w:t>
      </w:r>
      <w:r w:rsidR="00286173" w:rsidRPr="00510AD0">
        <w:fldChar w:fldCharType="begin"/>
      </w:r>
      <w:r w:rsidR="00286173" w:rsidRPr="00510AD0">
        <w:instrText xml:space="preserve">  REF _Ref69141822 \w \h \* MERGEFORMAT </w:instrText>
      </w:r>
      <w:r w:rsidR="00286173" w:rsidRPr="00510AD0">
        <w:fldChar w:fldCharType="separate"/>
      </w:r>
      <w:r w:rsidR="007751F5" w:rsidRPr="00510AD0">
        <w:t>20.3</w:t>
      </w:r>
      <w:r w:rsidR="00286173" w:rsidRPr="00510AD0">
        <w:fldChar w:fldCharType="end"/>
      </w:r>
      <w:r w:rsidRPr="00510AD0">
        <w:t>.  The Parties acknowledge and agree that this Agreement is a forward contract (within the meaning of the Bankruptcy Code, as in effect as of the Execution Date).  This Agreement shall be binding on each Party’s successors and permitted assigns.</w:t>
      </w:r>
      <w:bookmarkEnd w:id="715"/>
      <w:r w:rsidRPr="00510AD0">
        <w:t xml:space="preserve"> </w:t>
      </w:r>
    </w:p>
    <w:p w14:paraId="05974E19" w14:textId="105FC0A4" w:rsidR="0055205C" w:rsidRPr="00510AD0" w:rsidRDefault="0055205C" w:rsidP="00D74823">
      <w:pPr>
        <w:pStyle w:val="Heading3"/>
      </w:pPr>
      <w:bookmarkStart w:id="716" w:name="_Ref69141820"/>
      <w:r w:rsidRPr="00510AD0">
        <w:rPr>
          <w:u w:val="single"/>
        </w:rPr>
        <w:t>Amendments</w:t>
      </w:r>
      <w:r w:rsidRPr="00510AD0">
        <w:t xml:space="preserve">. </w:t>
      </w:r>
      <w:bookmarkStart w:id="717" w:name="_Hlk68955381"/>
      <w:r w:rsidRPr="00510AD0">
        <w:t>No amendment or modification to this Agreement shall be enforceable unless reduced to a writing signed by all Parties</w:t>
      </w:r>
      <w:bookmarkEnd w:id="716"/>
      <w:bookmarkEnd w:id="717"/>
      <w:r w:rsidR="006E66CD" w:rsidRPr="00510AD0">
        <w:rPr>
          <w:u w:val="single"/>
        </w:rPr>
        <w:t xml:space="preserve"> provided however</w:t>
      </w:r>
      <w:r w:rsidR="006E66CD" w:rsidRPr="00510AD0">
        <w:t xml:space="preserve">, that amendments to the amounts of Capacity Attributes comprising the </w:t>
      </w:r>
      <w:r w:rsidR="00E30D29" w:rsidRPr="00510AD0">
        <w:t>P</w:t>
      </w:r>
      <w:r w:rsidR="006E66CD" w:rsidRPr="00510AD0">
        <w:t>roduct shall be governed by the terms of Section</w:t>
      </w:r>
      <w:r w:rsidR="00E30D29" w:rsidRPr="00510AD0">
        <w:t xml:space="preserve"> 3.2(a)(ii)</w:t>
      </w:r>
      <w:r w:rsidR="006E66CD" w:rsidRPr="00510AD0">
        <w:t>.</w:t>
      </w:r>
    </w:p>
    <w:p w14:paraId="189BBA66" w14:textId="77777777" w:rsidR="0055205C" w:rsidRPr="00510AD0" w:rsidRDefault="0055205C" w:rsidP="0017021E">
      <w:pPr>
        <w:pStyle w:val="Heading2"/>
        <w:rPr>
          <w:vanish/>
          <w:specVanish/>
        </w:rPr>
      </w:pPr>
      <w:bookmarkStart w:id="718" w:name="_Ref69141821"/>
      <w:bookmarkStart w:id="719" w:name="_Toc70208451"/>
      <w:bookmarkStart w:id="720" w:name="_Toc81215101"/>
      <w:bookmarkStart w:id="721" w:name="_Toc78477871"/>
      <w:bookmarkStart w:id="722" w:name="_Toc99035910"/>
      <w:r w:rsidRPr="00510AD0">
        <w:t>Severability</w:t>
      </w:r>
      <w:bookmarkEnd w:id="718"/>
      <w:bookmarkEnd w:id="719"/>
      <w:bookmarkEnd w:id="720"/>
      <w:bookmarkEnd w:id="721"/>
      <w:bookmarkEnd w:id="722"/>
    </w:p>
    <w:p w14:paraId="294AA011" w14:textId="77777777" w:rsidR="0055205C" w:rsidRPr="00510AD0" w:rsidRDefault="0055205C" w:rsidP="00727F6E">
      <w:pPr>
        <w:pStyle w:val="Heading2Continued"/>
      </w:pPr>
      <w:r w:rsidRPr="00510AD0">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2EEB6AD1" w14:textId="77777777" w:rsidR="0055205C" w:rsidRPr="00510AD0" w:rsidRDefault="0055205C" w:rsidP="0017021E">
      <w:pPr>
        <w:pStyle w:val="Heading2"/>
        <w:rPr>
          <w:vanish/>
          <w:specVanish/>
        </w:rPr>
      </w:pPr>
      <w:bookmarkStart w:id="723" w:name="_Ref69141822"/>
      <w:bookmarkStart w:id="724" w:name="_Toc70208452"/>
      <w:bookmarkStart w:id="725" w:name="_Toc81215102"/>
      <w:bookmarkStart w:id="726" w:name="_Toc78477872"/>
      <w:bookmarkStart w:id="727" w:name="_Toc99035911"/>
      <w:r w:rsidRPr="00510AD0">
        <w:lastRenderedPageBreak/>
        <w:t>Counterparts</w:t>
      </w:r>
      <w:bookmarkEnd w:id="723"/>
      <w:bookmarkEnd w:id="724"/>
      <w:bookmarkEnd w:id="725"/>
      <w:bookmarkEnd w:id="726"/>
      <w:bookmarkEnd w:id="727"/>
    </w:p>
    <w:p w14:paraId="186DA813" w14:textId="77777777" w:rsidR="0055205C" w:rsidRPr="00510AD0" w:rsidRDefault="0055205C" w:rsidP="00727F6E">
      <w:pPr>
        <w:pStyle w:val="Heading2Continued"/>
      </w:pPr>
      <w:r w:rsidRPr="00510AD0">
        <w:t>.  This Agreement may be executed in one or more counterparts each of which shall be deemed an original and all of which shall be deemed one and the same Agreement.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41D593B4" w14:textId="77777777" w:rsidR="0055205C" w:rsidRPr="00510AD0" w:rsidRDefault="0055205C" w:rsidP="0017021E">
      <w:pPr>
        <w:pStyle w:val="Heading2"/>
        <w:rPr>
          <w:vanish/>
          <w:specVanish/>
        </w:rPr>
      </w:pPr>
      <w:bookmarkStart w:id="728" w:name="_Ref69141823"/>
      <w:bookmarkStart w:id="729" w:name="_Toc70208453"/>
      <w:bookmarkStart w:id="730" w:name="_Toc81215103"/>
      <w:bookmarkStart w:id="731" w:name="_Toc78477873"/>
      <w:bookmarkStart w:id="732" w:name="_Toc99035912"/>
      <w:r w:rsidRPr="00510AD0">
        <w:t>Mobile Sierra</w:t>
      </w:r>
      <w:bookmarkEnd w:id="728"/>
      <w:bookmarkEnd w:id="729"/>
      <w:bookmarkEnd w:id="730"/>
      <w:bookmarkEnd w:id="731"/>
      <w:bookmarkEnd w:id="732"/>
    </w:p>
    <w:p w14:paraId="39904013" w14:textId="444C3279" w:rsidR="0055205C" w:rsidRPr="00510AD0" w:rsidRDefault="0055205C" w:rsidP="00727F6E">
      <w:pPr>
        <w:pStyle w:val="Heading2Continued"/>
      </w:pPr>
      <w:r w:rsidRPr="00510AD0">
        <w:t xml:space="preserve">. </w:t>
      </w:r>
      <w:r w:rsidR="00275FE4" w:rsidRPr="00510AD0">
        <w:t>[</w:t>
      </w:r>
      <w:r w:rsidRPr="00510AD0">
        <w:t xml:space="preserve">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510AD0">
        <w:rPr>
          <w:i/>
        </w:rPr>
        <w:t xml:space="preserve">United States Gas Pipe Line Co. v. Mobile Gas Service Corp., </w:t>
      </w:r>
      <w:bookmarkStart w:id="733" w:name="DocXTextRef190"/>
      <w:r w:rsidRPr="00510AD0">
        <w:rPr>
          <w:i/>
        </w:rPr>
        <w:t>350</w:t>
      </w:r>
      <w:bookmarkEnd w:id="733"/>
      <w:r w:rsidRPr="00510AD0">
        <w:rPr>
          <w:i/>
        </w:rPr>
        <w:t xml:space="preserve"> U.S. </w:t>
      </w:r>
      <w:bookmarkStart w:id="734" w:name="DocXTextRef191"/>
      <w:r w:rsidRPr="00510AD0">
        <w:rPr>
          <w:i/>
        </w:rPr>
        <w:t>332</w:t>
      </w:r>
      <w:bookmarkEnd w:id="734"/>
      <w:r w:rsidRPr="00510AD0">
        <w:rPr>
          <w:i/>
        </w:rPr>
        <w:t xml:space="preserve"> (1956) and Federal Power Commission v. Sierra Pacific Power Co., </w:t>
      </w:r>
      <w:bookmarkStart w:id="735" w:name="DocXTextRef192"/>
      <w:r w:rsidRPr="00510AD0">
        <w:rPr>
          <w:i/>
        </w:rPr>
        <w:t>350</w:t>
      </w:r>
      <w:bookmarkEnd w:id="735"/>
      <w:r w:rsidRPr="00510AD0">
        <w:rPr>
          <w:i/>
        </w:rPr>
        <w:t xml:space="preserve"> U.S. </w:t>
      </w:r>
      <w:bookmarkStart w:id="736" w:name="DocXTextRef193"/>
      <w:r w:rsidRPr="00510AD0">
        <w:rPr>
          <w:i/>
        </w:rPr>
        <w:t>348</w:t>
      </w:r>
      <w:bookmarkEnd w:id="736"/>
      <w:r w:rsidRPr="00510AD0">
        <w:rPr>
          <w:i/>
        </w:rPr>
        <w:t xml:space="preserve"> (1956) , </w:t>
      </w:r>
      <w:r w:rsidRPr="00510AD0">
        <w:t xml:space="preserve">and clarified by </w:t>
      </w:r>
      <w:r w:rsidRPr="00510AD0">
        <w:rPr>
          <w:i/>
        </w:rPr>
        <w:t>Morgan Stanley Capital Group, Inc. v. Public Util. Dist. No. 1 of Snohomish,</w:t>
      </w:r>
      <w:r w:rsidRPr="00510AD0">
        <w:t xml:space="preserve"> </w:t>
      </w:r>
      <w:bookmarkStart w:id="737" w:name="DocXTextRef194"/>
      <w:r w:rsidRPr="00510AD0">
        <w:rPr>
          <w:i/>
        </w:rPr>
        <w:t>554</w:t>
      </w:r>
      <w:bookmarkEnd w:id="737"/>
      <w:r w:rsidRPr="00510AD0">
        <w:rPr>
          <w:i/>
        </w:rPr>
        <w:t xml:space="preserve"> U.S.</w:t>
      </w:r>
      <w:r w:rsidRPr="00510AD0">
        <w:rPr>
          <w:b/>
          <w:i/>
        </w:rPr>
        <w:t xml:space="preserve"> </w:t>
      </w:r>
      <w:bookmarkStart w:id="738" w:name="DocXTextRef195"/>
      <w:r w:rsidRPr="00510AD0">
        <w:rPr>
          <w:i/>
        </w:rPr>
        <w:t>527</w:t>
      </w:r>
      <w:bookmarkEnd w:id="738"/>
      <w:r w:rsidRPr="00510AD0">
        <w:rPr>
          <w:i/>
        </w:rPr>
        <w:t xml:space="preserve"> (2008)</w:t>
      </w:r>
      <w:r w:rsidRPr="00510AD0">
        <w:t>.</w:t>
      </w:r>
      <w:r w:rsidR="00275FE4" w:rsidRPr="00510AD0">
        <w:t>]</w:t>
      </w:r>
      <w:r w:rsidR="00275FE4" w:rsidRPr="00510AD0">
        <w:rPr>
          <w:rStyle w:val="FootnoteReference"/>
        </w:rPr>
        <w:footnoteReference w:id="38"/>
      </w:r>
    </w:p>
    <w:p w14:paraId="6DF6F104" w14:textId="77777777" w:rsidR="0055205C" w:rsidRPr="00510AD0" w:rsidRDefault="0055205C" w:rsidP="0017021E">
      <w:pPr>
        <w:pStyle w:val="Heading2"/>
        <w:rPr>
          <w:vanish/>
          <w:specVanish/>
        </w:rPr>
      </w:pPr>
      <w:bookmarkStart w:id="739" w:name="_Ref69141824"/>
      <w:bookmarkStart w:id="740" w:name="_Toc70208454"/>
      <w:bookmarkStart w:id="741" w:name="_Toc81215104"/>
      <w:bookmarkStart w:id="742" w:name="_Toc78477874"/>
      <w:bookmarkStart w:id="743" w:name="_Toc99035913"/>
      <w:r w:rsidRPr="00510AD0">
        <w:t>Interpretation</w:t>
      </w:r>
      <w:bookmarkEnd w:id="739"/>
      <w:bookmarkEnd w:id="740"/>
      <w:bookmarkEnd w:id="741"/>
      <w:bookmarkEnd w:id="742"/>
      <w:bookmarkEnd w:id="743"/>
    </w:p>
    <w:p w14:paraId="358917AC" w14:textId="77777777" w:rsidR="0055205C" w:rsidRPr="00510AD0" w:rsidRDefault="0055205C" w:rsidP="00727F6E">
      <w:pPr>
        <w:pStyle w:val="Heading2Continued"/>
      </w:pPr>
      <w:r w:rsidRPr="00510AD0">
        <w:t>.  The following rules of interpretation apply:</w:t>
      </w:r>
    </w:p>
    <w:p w14:paraId="675DE6A4" w14:textId="045CD128" w:rsidR="0055205C" w:rsidRPr="00510AD0" w:rsidRDefault="0055205C" w:rsidP="00D74823">
      <w:pPr>
        <w:pStyle w:val="Heading3"/>
      </w:pPr>
      <w:bookmarkStart w:id="744" w:name="_Ref69141825"/>
      <w:r w:rsidRPr="00510AD0">
        <w:t xml:space="preserve">The term “including” means “including without limitation”; the term “or” shall not be exclusive; the terms “year” and “calendar year” mean the period of months from January 1 through and including December 31; the term “month” means a calendar month unless otherwise indicated, and a “day” means a </w:t>
      </w:r>
      <w:bookmarkStart w:id="745" w:name="DocXTextRef196"/>
      <w:r w:rsidRPr="00510AD0">
        <w:t>24</w:t>
      </w:r>
      <w:bookmarkEnd w:id="745"/>
      <w:r w:rsidRPr="00510AD0">
        <w:t xml:space="preserve">-hour period beginning at 12:00:01 a.m. and ending at 12:00:00 midnight; provided that a “day” may be </w:t>
      </w:r>
      <w:bookmarkStart w:id="746" w:name="DocXTextRef197"/>
      <w:r w:rsidRPr="00510AD0">
        <w:t>23</w:t>
      </w:r>
      <w:bookmarkEnd w:id="746"/>
      <w:r w:rsidRPr="00510AD0">
        <w:t xml:space="preserve"> or 25 hours on those days on which daylight saving time begins or ends, respectively.</w:t>
      </w:r>
      <w:bookmarkEnd w:id="744"/>
      <w:r w:rsidRPr="00510AD0">
        <w:t xml:space="preserve"> </w:t>
      </w:r>
    </w:p>
    <w:p w14:paraId="18661485" w14:textId="77777777" w:rsidR="0055205C" w:rsidRPr="00510AD0" w:rsidRDefault="0055205C" w:rsidP="00D74823">
      <w:pPr>
        <w:pStyle w:val="Heading3"/>
      </w:pPr>
      <w:bookmarkStart w:id="747" w:name="_Ref69141826"/>
      <w:r w:rsidRPr="00510AD0">
        <w:t>Unless otherwise specified herein, where the consent of a Party is required, such consent shall not be unreasonably withheld or unreasonably delayed.</w:t>
      </w:r>
      <w:bookmarkEnd w:id="747"/>
      <w:r w:rsidRPr="00510AD0">
        <w:t xml:space="preserve">  </w:t>
      </w:r>
    </w:p>
    <w:p w14:paraId="1F2DFE39" w14:textId="77777777" w:rsidR="0055205C" w:rsidRPr="00510AD0" w:rsidRDefault="0055205C" w:rsidP="00D74823">
      <w:pPr>
        <w:pStyle w:val="Heading3"/>
      </w:pPr>
      <w:bookmarkStart w:id="748" w:name="_Ref69141827"/>
      <w:r w:rsidRPr="00510AD0">
        <w:t>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w:t>
      </w:r>
      <w:bookmarkEnd w:id="748"/>
      <w:r w:rsidRPr="00510AD0">
        <w:t xml:space="preserve">  </w:t>
      </w:r>
    </w:p>
    <w:p w14:paraId="427E8442" w14:textId="77777777" w:rsidR="0055205C" w:rsidRPr="00510AD0" w:rsidRDefault="0055205C" w:rsidP="00D74823">
      <w:pPr>
        <w:pStyle w:val="Heading3"/>
      </w:pPr>
      <w:bookmarkStart w:id="749" w:name="_Ref69141828"/>
      <w:r w:rsidRPr="00510AD0">
        <w:t xml:space="preserve">Capitalized terms used in this Agreement, including the appendices hereto, have the meaning set forth in </w:t>
      </w:r>
      <w:bookmarkStart w:id="750" w:name="DocXTextRef198"/>
      <w:r w:rsidRPr="00510AD0">
        <w:rPr>
          <w:u w:val="single"/>
        </w:rPr>
        <w:t>Appendix I</w:t>
      </w:r>
      <w:bookmarkEnd w:id="750"/>
      <w:r w:rsidRPr="00510AD0">
        <w:t>, unless otherwise specified.</w:t>
      </w:r>
      <w:bookmarkEnd w:id="749"/>
      <w:r w:rsidRPr="00510AD0">
        <w:t xml:space="preserve"> </w:t>
      </w:r>
    </w:p>
    <w:p w14:paraId="0AA4B09F" w14:textId="77777777" w:rsidR="0055205C" w:rsidRPr="00510AD0" w:rsidRDefault="0055205C" w:rsidP="00D74823">
      <w:pPr>
        <w:pStyle w:val="Heading3"/>
      </w:pPr>
      <w:bookmarkStart w:id="751" w:name="_Ref69141829"/>
      <w:r w:rsidRPr="00510AD0">
        <w:t xml:space="preserve">References in the singular include references in the plural and vice versa, pronouns having masculine or feminine gender will be deemed to include the other, and words denoting natural persons include partnerships, firms, companies, corporations, limited liability </w:t>
      </w:r>
      <w:r w:rsidRPr="00510AD0">
        <w:lastRenderedPageBreak/>
        <w:t>companies, joint ventures, trusts, associations, organizations or other entities (whether or not having a separate legal personality).  Other grammatical forms of defined words or phrases have corresponding meanings.</w:t>
      </w:r>
      <w:bookmarkEnd w:id="751"/>
      <w:r w:rsidRPr="00510AD0">
        <w:t xml:space="preserve">  </w:t>
      </w:r>
    </w:p>
    <w:p w14:paraId="6B1872AA" w14:textId="77777777" w:rsidR="0055205C" w:rsidRPr="00510AD0" w:rsidRDefault="0055205C" w:rsidP="00D74823">
      <w:pPr>
        <w:pStyle w:val="Heading3"/>
      </w:pPr>
      <w:bookmarkStart w:id="752" w:name="_Ref69141830"/>
      <w:r w:rsidRPr="00510AD0">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bookmarkEnd w:id="752"/>
    </w:p>
    <w:p w14:paraId="23F3D8B9" w14:textId="77777777" w:rsidR="0055205C" w:rsidRPr="00510AD0" w:rsidRDefault="0055205C" w:rsidP="00D74823">
      <w:pPr>
        <w:pStyle w:val="Heading3"/>
      </w:pPr>
      <w:bookmarkStart w:id="753" w:name="_Ref69141831"/>
      <w:r w:rsidRPr="00510AD0">
        <w:t>References to a particular article, section, subsection, paragraph, subparagraph, appendix or attachment will, unless specified otherwise, be a reference to that article, section, subsection, paragraph, subparagraph, appendix or attachment in or to this Agreement.</w:t>
      </w:r>
      <w:bookmarkEnd w:id="753"/>
      <w:r w:rsidRPr="00510AD0">
        <w:t xml:space="preserve">  </w:t>
      </w:r>
    </w:p>
    <w:p w14:paraId="5CCDF983" w14:textId="77777777" w:rsidR="0055205C" w:rsidRPr="00510AD0" w:rsidRDefault="0055205C" w:rsidP="00D74823">
      <w:pPr>
        <w:pStyle w:val="Heading3"/>
      </w:pPr>
      <w:bookmarkStart w:id="754" w:name="_Ref69141832"/>
      <w:r w:rsidRPr="00510AD0">
        <w:t>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w:t>
      </w:r>
      <w:bookmarkEnd w:id="754"/>
      <w:r w:rsidRPr="00510AD0">
        <w:t xml:space="preserve">  </w:t>
      </w:r>
    </w:p>
    <w:p w14:paraId="64E9FB4B" w14:textId="77777777" w:rsidR="0055205C" w:rsidRPr="00510AD0" w:rsidRDefault="0055205C" w:rsidP="00D74823">
      <w:pPr>
        <w:pStyle w:val="Heading3"/>
      </w:pPr>
      <w:bookmarkStart w:id="755" w:name="_Ref69141833"/>
      <w:r w:rsidRPr="00510AD0">
        <w:t>All references to dollars or “$” are to U.S. dollars.</w:t>
      </w:r>
      <w:bookmarkEnd w:id="755"/>
    </w:p>
    <w:p w14:paraId="7F5A4AE1" w14:textId="77777777" w:rsidR="0055205C" w:rsidRPr="00510AD0" w:rsidRDefault="0055205C" w:rsidP="00D74823">
      <w:pPr>
        <w:pStyle w:val="Heading3"/>
      </w:pPr>
      <w:bookmarkStart w:id="756" w:name="_Ref69141834"/>
      <w:r w:rsidRPr="00510AD0">
        <w:t xml:space="preserve">When an action is required to be completed on a Business Day, such action must be completed prior to </w:t>
      </w:r>
      <w:bookmarkStart w:id="757" w:name="DocXTextRef199"/>
      <w:r w:rsidRPr="00510AD0">
        <w:t>5</w:t>
      </w:r>
      <w:bookmarkEnd w:id="757"/>
      <w:r w:rsidRPr="00510AD0">
        <w:t>:00 p.m. on such day, Pacific prevailing time, and actions occurring after 5:00 p.m. (such as the delivery of a Notice) will be deemed to have occurred on the following Business Day.</w:t>
      </w:r>
      <w:bookmarkEnd w:id="756"/>
    </w:p>
    <w:p w14:paraId="45F78363" w14:textId="32C3F7CC" w:rsidR="0055205C" w:rsidRPr="00510AD0" w:rsidRDefault="0055205C" w:rsidP="00D74823">
      <w:pPr>
        <w:pStyle w:val="Heading3"/>
      </w:pPr>
      <w:bookmarkStart w:id="758" w:name="_Ref69141835"/>
      <w:r w:rsidRPr="00510AD0">
        <w:t>All references to Product mean each and all components of the Product unless the context infers a particular component of Product.</w:t>
      </w:r>
      <w:bookmarkEnd w:id="758"/>
    </w:p>
    <w:p w14:paraId="43784B4D" w14:textId="77777777" w:rsidR="0055205C" w:rsidRPr="00510AD0" w:rsidRDefault="0055205C" w:rsidP="0017021E">
      <w:pPr>
        <w:pStyle w:val="Heading2"/>
        <w:rPr>
          <w:vanish/>
          <w:specVanish/>
        </w:rPr>
      </w:pPr>
      <w:bookmarkStart w:id="759" w:name="_Ref69141836"/>
      <w:bookmarkStart w:id="760" w:name="_Toc70208455"/>
      <w:bookmarkStart w:id="761" w:name="_Toc81215105"/>
      <w:bookmarkStart w:id="762" w:name="_Toc78477875"/>
      <w:bookmarkStart w:id="763" w:name="_Toc99035914"/>
      <w:r w:rsidRPr="00510AD0">
        <w:t>Recordings</w:t>
      </w:r>
      <w:bookmarkEnd w:id="759"/>
      <w:bookmarkEnd w:id="760"/>
      <w:bookmarkEnd w:id="761"/>
      <w:bookmarkEnd w:id="762"/>
      <w:bookmarkEnd w:id="763"/>
    </w:p>
    <w:p w14:paraId="78ED96BF" w14:textId="77777777" w:rsidR="0055205C" w:rsidRPr="00510AD0" w:rsidRDefault="0055205C" w:rsidP="00727F6E">
      <w:pPr>
        <w:pStyle w:val="Heading2Continued"/>
      </w:pPr>
      <w:r w:rsidRPr="00510AD0">
        <w:t>.  Unless a Party expressly objects to a recording at the beginning of a telephone conversation, each Party consents to the creation of an electronic recording of all telephone conversations between the Parties to this Agreement related to the scheduling of any Product, and that any such recordings will be retained in confidence, secured from improper access, and may be submitted in evidence in any proceeding or action relating to this Agreement, subject to the confidentiality provisions of Article Nineteen.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14:paraId="4DBD0C0E" w14:textId="77777777" w:rsidR="0055205C" w:rsidRPr="00510AD0" w:rsidRDefault="0055205C" w:rsidP="0017021E">
      <w:pPr>
        <w:pStyle w:val="Heading2"/>
        <w:rPr>
          <w:vanish/>
          <w:specVanish/>
        </w:rPr>
      </w:pPr>
      <w:bookmarkStart w:id="764" w:name="_Ref69141837"/>
      <w:bookmarkStart w:id="765" w:name="_Toc70208456"/>
      <w:bookmarkStart w:id="766" w:name="_Toc81215106"/>
      <w:bookmarkStart w:id="767" w:name="_Toc78477876"/>
      <w:bookmarkStart w:id="768" w:name="_Toc99035915"/>
      <w:r w:rsidRPr="00510AD0">
        <w:t>Authorized Representatives</w:t>
      </w:r>
      <w:bookmarkEnd w:id="764"/>
      <w:bookmarkEnd w:id="765"/>
      <w:bookmarkEnd w:id="766"/>
      <w:bookmarkEnd w:id="767"/>
      <w:bookmarkEnd w:id="768"/>
    </w:p>
    <w:p w14:paraId="688459DD" w14:textId="77777777" w:rsidR="0055205C" w:rsidRPr="00510AD0" w:rsidRDefault="0055205C" w:rsidP="00727F6E">
      <w:pPr>
        <w:pStyle w:val="Heading2Continued"/>
      </w:pPr>
      <w:r w:rsidRPr="00510AD0">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387858E4" w14:textId="77777777" w:rsidR="0055205C" w:rsidRPr="00510AD0" w:rsidRDefault="0055205C" w:rsidP="0017021E">
      <w:pPr>
        <w:pStyle w:val="Heading2"/>
        <w:rPr>
          <w:vanish/>
          <w:specVanish/>
        </w:rPr>
      </w:pPr>
      <w:bookmarkStart w:id="769" w:name="_Ref69141838"/>
      <w:bookmarkStart w:id="770" w:name="_Toc70208457"/>
      <w:bookmarkStart w:id="771" w:name="_Toc81215107"/>
      <w:bookmarkStart w:id="772" w:name="_Toc78477877"/>
      <w:bookmarkStart w:id="773" w:name="_Toc99035916"/>
      <w:r w:rsidRPr="00510AD0">
        <w:lastRenderedPageBreak/>
        <w:t>No Dedication</w:t>
      </w:r>
      <w:bookmarkEnd w:id="769"/>
      <w:bookmarkEnd w:id="770"/>
      <w:bookmarkEnd w:id="771"/>
      <w:bookmarkEnd w:id="772"/>
      <w:bookmarkEnd w:id="773"/>
    </w:p>
    <w:p w14:paraId="7BF6E1FD" w14:textId="77777777" w:rsidR="0055205C" w:rsidRPr="00510AD0" w:rsidRDefault="0055205C" w:rsidP="00727F6E">
      <w:pPr>
        <w:pStyle w:val="Heading2Continued"/>
      </w:pPr>
      <w:r w:rsidRPr="00510AD0">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4948ABD5" w14:textId="77777777" w:rsidR="0055205C" w:rsidRPr="00510AD0" w:rsidRDefault="0055205C" w:rsidP="0017021E">
      <w:pPr>
        <w:pStyle w:val="Heading2"/>
        <w:rPr>
          <w:vanish/>
          <w:specVanish/>
        </w:rPr>
      </w:pPr>
      <w:bookmarkStart w:id="774" w:name="_Ref69141839"/>
      <w:bookmarkStart w:id="775" w:name="_Toc70208458"/>
      <w:bookmarkStart w:id="776" w:name="_Toc81215108"/>
      <w:bookmarkStart w:id="777" w:name="_Toc78477878"/>
      <w:bookmarkStart w:id="778" w:name="_Toc99035917"/>
      <w:r w:rsidRPr="00510AD0">
        <w:t>Governing Law</w:t>
      </w:r>
      <w:bookmarkEnd w:id="774"/>
      <w:bookmarkEnd w:id="775"/>
      <w:bookmarkEnd w:id="776"/>
      <w:bookmarkEnd w:id="777"/>
      <w:bookmarkEnd w:id="778"/>
    </w:p>
    <w:p w14:paraId="03F4ED37" w14:textId="77777777" w:rsidR="0055205C" w:rsidRPr="00510AD0" w:rsidRDefault="0055205C" w:rsidP="00727F6E">
      <w:pPr>
        <w:pStyle w:val="Heading2Continued"/>
      </w:pPr>
      <w:r w:rsidRPr="00510AD0">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663CFA7F" w14:textId="77777777" w:rsidR="0055205C" w:rsidRPr="00510AD0" w:rsidRDefault="0055205C" w:rsidP="0017021E">
      <w:pPr>
        <w:pStyle w:val="Heading2"/>
        <w:rPr>
          <w:vanish/>
          <w:specVanish/>
        </w:rPr>
      </w:pPr>
      <w:bookmarkStart w:id="779" w:name="_Ref69141840"/>
      <w:bookmarkStart w:id="780" w:name="_Toc70208459"/>
      <w:bookmarkStart w:id="781" w:name="_Toc81215109"/>
      <w:bookmarkStart w:id="782" w:name="_Toc78477879"/>
      <w:bookmarkStart w:id="783" w:name="_Toc99035918"/>
      <w:r w:rsidRPr="00510AD0">
        <w:t>Separation of Functions</w:t>
      </w:r>
      <w:bookmarkEnd w:id="779"/>
      <w:bookmarkEnd w:id="780"/>
      <w:bookmarkEnd w:id="781"/>
      <w:bookmarkEnd w:id="782"/>
      <w:bookmarkEnd w:id="783"/>
    </w:p>
    <w:p w14:paraId="4C62B7B9" w14:textId="0CA4A6A1" w:rsidR="0055205C" w:rsidRPr="00510AD0" w:rsidRDefault="0055205C" w:rsidP="00727F6E">
      <w:pPr>
        <w:pStyle w:val="Heading2Continued"/>
      </w:pPr>
      <w:r w:rsidRPr="00510AD0">
        <w:t>.  The Parties acknowledge that this Agreement is between Seller</w:t>
      </w:r>
      <w:bookmarkStart w:id="784" w:name="_Hlk65066108"/>
      <w:r w:rsidRPr="00510AD0">
        <w:t xml:space="preserve"> </w:t>
      </w:r>
      <w:bookmarkEnd w:id="784"/>
      <w:r w:rsidRPr="00510AD0">
        <w:t>and Buyer acting solely in its capacity as a Central Procurement Entity.  The Parties further acknowledge that they have no rights against each other or obligations to each other under this Agreement with respect to any relationship between the Parties in which PG&amp;E is acting in any capacity other than</w:t>
      </w:r>
      <w:bookmarkStart w:id="785" w:name="_Hlk65066142"/>
      <w:r w:rsidRPr="00510AD0">
        <w:t xml:space="preserve"> a Central Procurement Entity, including as a</w:t>
      </w:r>
      <w:bookmarkEnd w:id="785"/>
      <w:r w:rsidRPr="00510AD0">
        <w:t xml:space="preserve"> load serving entity, Participating TO or Utility Distribution Company.  Buyer is not responsible for or liable in any way under this Agreement for any delay in the Initial Delivery Date owing to electric interconnection, transmission or distribution service or inability to obtain retail electric service for the Project, and Seller’s non-performance of any provision of this Agreement shall not be excused for a failure of electric interconnection, transmission or distribution service, or for an inability to obtain retail electric service for the Project, regardless of whether PG&amp;E is the </w:t>
      </w:r>
      <w:bookmarkStart w:id="786" w:name="DocXTextRef200"/>
      <w:r w:rsidRPr="00510AD0">
        <w:t>(A)</w:t>
      </w:r>
      <w:bookmarkEnd w:id="786"/>
      <w:r w:rsidRPr="00510AD0">
        <w:t xml:space="preserve"> Participating TO or </w:t>
      </w:r>
      <w:bookmarkStart w:id="787" w:name="DocXTextRef201"/>
      <w:r w:rsidRPr="00510AD0">
        <w:t>(B)</w:t>
      </w:r>
      <w:bookmarkEnd w:id="787"/>
      <w:r w:rsidRPr="00510AD0">
        <w:t xml:space="preserve"> Utility Distribution Company for the Project.</w:t>
      </w:r>
    </w:p>
    <w:p w14:paraId="022F0908" w14:textId="77777777" w:rsidR="0055205C" w:rsidRPr="00510AD0" w:rsidRDefault="0055205C" w:rsidP="00B458B6">
      <w:pPr>
        <w:pStyle w:val="Heading1"/>
      </w:pPr>
      <w:bookmarkStart w:id="788" w:name="_Toc70208460"/>
      <w:bookmarkStart w:id="789" w:name="_Toc81215110"/>
      <w:bookmarkStart w:id="790" w:name="_Toc78477880"/>
      <w:bookmarkStart w:id="791" w:name="_Toc99035919"/>
      <w:r w:rsidRPr="00510AD0">
        <w:br/>
      </w:r>
      <w:bookmarkStart w:id="792" w:name="_Ref69141841"/>
      <w:r w:rsidRPr="00510AD0">
        <w:t>NOTICES</w:t>
      </w:r>
      <w:bookmarkEnd w:id="788"/>
      <w:bookmarkEnd w:id="789"/>
      <w:bookmarkEnd w:id="790"/>
      <w:bookmarkEnd w:id="791"/>
      <w:bookmarkEnd w:id="792"/>
    </w:p>
    <w:p w14:paraId="617A1CB2" w14:textId="4F768482" w:rsidR="0055205C" w:rsidRPr="00510AD0" w:rsidRDefault="0055205C" w:rsidP="00727F6E">
      <w:pPr>
        <w:pStyle w:val="Heading2"/>
        <w:rPr>
          <w:vanish/>
          <w:specVanish/>
        </w:rPr>
      </w:pPr>
      <w:bookmarkStart w:id="793" w:name="_Ref69141842"/>
      <w:bookmarkStart w:id="794" w:name="_Toc70208461"/>
      <w:bookmarkStart w:id="795" w:name="_Toc81215111"/>
      <w:bookmarkStart w:id="796" w:name="_Toc78477881"/>
      <w:bookmarkStart w:id="797" w:name="_Toc99035920"/>
      <w:r w:rsidRPr="00510AD0">
        <w:t>Notices</w:t>
      </w:r>
      <w:bookmarkEnd w:id="793"/>
      <w:bookmarkEnd w:id="794"/>
      <w:bookmarkEnd w:id="795"/>
      <w:bookmarkEnd w:id="796"/>
      <w:bookmarkEnd w:id="797"/>
    </w:p>
    <w:p w14:paraId="24ABB9A0" w14:textId="77777777" w:rsidR="0055205C" w:rsidRPr="00510AD0" w:rsidRDefault="0055205C" w:rsidP="00727F6E">
      <w:pPr>
        <w:pStyle w:val="Heading2Continued"/>
      </w:pPr>
      <w:r w:rsidRPr="00510AD0">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w:t>
      </w:r>
      <w:bookmarkStart w:id="798" w:name="DocXTextRef202"/>
      <w:r w:rsidRPr="00510AD0">
        <w:t>5</w:t>
      </w:r>
      <w:bookmarkEnd w:id="798"/>
      <w:r w:rsidRPr="00510AD0">
        <w:t xml:space="preserve"> p.m. Pacific prevailing time (and if received after </w:t>
      </w:r>
      <w:bookmarkStart w:id="799" w:name="DocXTextRef203"/>
      <w:r w:rsidRPr="00510AD0">
        <w:t>5</w:t>
      </w:r>
      <w:bookmarkEnd w:id="799"/>
      <w:r w:rsidRPr="00510AD0">
        <w:t xml:space="preserve"> p.m., on the next Business Day) and a Notice by overnight mail or courier shall be deemed to have been received two (2) Business Days after it was sent or such earlier time as is confirmed by the receiving Party. </w:t>
      </w:r>
      <w:bookmarkStart w:id="800" w:name="DocXTextRef204"/>
      <w:r w:rsidRPr="00510AD0">
        <w:rPr>
          <w:u w:val="single"/>
        </w:rPr>
        <w:t>Appendix X</w:t>
      </w:r>
      <w:bookmarkEnd w:id="800"/>
      <w:r w:rsidRPr="00510AD0">
        <w:t xml:space="preserve"> contains the names and addresses to be used for Notices.</w:t>
      </w:r>
    </w:p>
    <w:p w14:paraId="6AFCFB40" w14:textId="77777777" w:rsidR="0055205C" w:rsidRPr="00510AD0" w:rsidRDefault="0055205C" w:rsidP="00507B02">
      <w:pPr>
        <w:pStyle w:val="Center"/>
      </w:pPr>
      <w:r w:rsidRPr="00510AD0">
        <w:t>[Signature Page Follows]</w:t>
      </w:r>
    </w:p>
    <w:p w14:paraId="063FB513" w14:textId="77777777" w:rsidR="0055205C" w:rsidRPr="00510AD0" w:rsidRDefault="0055205C" w:rsidP="00D74378">
      <w:pPr>
        <w:jc w:val="center"/>
        <w:sectPr w:rsidR="0055205C" w:rsidRPr="00510AD0" w:rsidSect="0070095F">
          <w:headerReference w:type="default" r:id="rId16"/>
          <w:footerReference w:type="default" r:id="rId17"/>
          <w:pgSz w:w="12240" w:h="15840"/>
          <w:pgMar w:top="1440" w:right="1440" w:bottom="1440" w:left="1440" w:header="432" w:footer="432" w:gutter="0"/>
          <w:pgNumType w:start="1"/>
          <w:cols w:space="720"/>
          <w:docGrid w:linePitch="360"/>
        </w:sectPr>
      </w:pPr>
    </w:p>
    <w:p w14:paraId="55123FE4" w14:textId="77777777" w:rsidR="0055205C" w:rsidRPr="00510AD0" w:rsidRDefault="0055205C" w:rsidP="00E57684">
      <w:pPr>
        <w:pStyle w:val="Center"/>
        <w:rPr>
          <w:b/>
          <w:bCs/>
        </w:rPr>
      </w:pPr>
      <w:r w:rsidRPr="00510AD0">
        <w:rPr>
          <w:b/>
          <w:bCs/>
        </w:rPr>
        <w:lastRenderedPageBreak/>
        <w:t>SIGNATURES</w:t>
      </w:r>
    </w:p>
    <w:tbl>
      <w:tblPr>
        <w:tblW w:w="0" w:type="auto"/>
        <w:tblBorders>
          <w:top w:val="single" w:sz="4" w:space="0" w:color="auto"/>
        </w:tblBorders>
        <w:tblLook w:val="04A0" w:firstRow="1" w:lastRow="0" w:firstColumn="1" w:lastColumn="0" w:noHBand="0" w:noVBand="1"/>
      </w:tblPr>
      <w:tblGrid>
        <w:gridCol w:w="9360"/>
      </w:tblGrid>
      <w:tr w:rsidR="0055205C" w:rsidRPr="00510AD0" w14:paraId="4D4721FF" w14:textId="77777777" w:rsidTr="0070095F">
        <w:tc>
          <w:tcPr>
            <w:tcW w:w="9576" w:type="dxa"/>
            <w:shd w:val="clear" w:color="auto" w:fill="auto"/>
          </w:tcPr>
          <w:p w14:paraId="3829EB31" w14:textId="77777777" w:rsidR="0055205C" w:rsidRPr="00510AD0" w:rsidRDefault="0055205C" w:rsidP="00E57684">
            <w:pPr>
              <w:pStyle w:val="BodyTextLeft"/>
              <w:rPr>
                <w:b/>
                <w:bCs/>
                <w:u w:val="single"/>
              </w:rPr>
            </w:pPr>
            <w:r w:rsidRPr="00510AD0">
              <w:rPr>
                <w:b/>
                <w:bCs/>
                <w:u w:val="single"/>
              </w:rPr>
              <w:t>Agreement Execution</w:t>
            </w:r>
          </w:p>
          <w:p w14:paraId="3B3076B7" w14:textId="77777777" w:rsidR="0055205C" w:rsidRPr="00510AD0" w:rsidRDefault="0055205C" w:rsidP="00E57684">
            <w:pPr>
              <w:pStyle w:val="BodyTextLeft"/>
            </w:pPr>
            <w:r w:rsidRPr="00510AD0">
              <w:t>In WITNESS WHEREOF, each Party has caused this Agreement to be duly executed by its Authorized Representative as of the dates provided below:</w:t>
            </w:r>
          </w:p>
        </w:tc>
      </w:tr>
    </w:tbl>
    <w:p w14:paraId="3CF01378" w14:textId="77777777" w:rsidR="0055205C" w:rsidRPr="00510AD0" w:rsidRDefault="0055205C" w:rsidP="00E57684">
      <w:pPr>
        <w:pStyle w:val="BodyTextLeft"/>
      </w:pPr>
    </w:p>
    <w:tbl>
      <w:tblPr>
        <w:tblW w:w="9504" w:type="dxa"/>
        <w:tblLayout w:type="fixed"/>
        <w:tblLook w:val="00A0" w:firstRow="1" w:lastRow="0" w:firstColumn="1" w:lastColumn="0" w:noHBand="0" w:noVBand="0"/>
      </w:tblPr>
      <w:tblGrid>
        <w:gridCol w:w="1260"/>
        <w:gridCol w:w="3495"/>
        <w:gridCol w:w="1275"/>
        <w:gridCol w:w="3474"/>
      </w:tblGrid>
      <w:tr w:rsidR="0055205C" w:rsidRPr="00510AD0" w14:paraId="6CCBDF34" w14:textId="77777777" w:rsidTr="0070095F">
        <w:trPr>
          <w:trHeight w:val="720"/>
        </w:trPr>
        <w:tc>
          <w:tcPr>
            <w:tcW w:w="4755" w:type="dxa"/>
            <w:gridSpan w:val="2"/>
            <w:vAlign w:val="bottom"/>
          </w:tcPr>
          <w:p w14:paraId="6127C8A5" w14:textId="77777777" w:rsidR="0055205C" w:rsidRPr="00510AD0" w:rsidRDefault="0055205C" w:rsidP="008F67E0">
            <w:pPr>
              <w:keepNext/>
            </w:pPr>
            <w:r w:rsidRPr="00510AD0">
              <w:rPr>
                <w:b/>
              </w:rPr>
              <w:t>____________</w:t>
            </w:r>
            <w:r w:rsidRPr="00510AD0">
              <w:rPr>
                <w:b/>
                <w:i/>
                <w:u w:val="single"/>
              </w:rPr>
              <w:t>[Seller]</w:t>
            </w:r>
            <w:r w:rsidRPr="00510AD0">
              <w:rPr>
                <w:b/>
              </w:rPr>
              <w:t>________________, a ______________________ company</w:t>
            </w:r>
          </w:p>
        </w:tc>
        <w:tc>
          <w:tcPr>
            <w:tcW w:w="4749" w:type="dxa"/>
            <w:gridSpan w:val="2"/>
            <w:vAlign w:val="bottom"/>
          </w:tcPr>
          <w:p w14:paraId="4E494AEA" w14:textId="77777777" w:rsidR="0055205C" w:rsidRPr="00510AD0" w:rsidRDefault="0055205C" w:rsidP="0070095F">
            <w:pPr>
              <w:keepNext/>
              <w:rPr>
                <w:b/>
              </w:rPr>
            </w:pPr>
            <w:r w:rsidRPr="00510AD0">
              <w:rPr>
                <w:b/>
              </w:rPr>
              <w:t>PACIFIC GAS AND ELECTRIC COMPANY, a California corporation</w:t>
            </w:r>
          </w:p>
        </w:tc>
      </w:tr>
      <w:tr w:rsidR="0055205C" w:rsidRPr="00510AD0" w14:paraId="62204E2E" w14:textId="77777777" w:rsidTr="00E57684">
        <w:trPr>
          <w:trHeight w:val="720"/>
        </w:trPr>
        <w:tc>
          <w:tcPr>
            <w:tcW w:w="1260" w:type="dxa"/>
            <w:vAlign w:val="bottom"/>
          </w:tcPr>
          <w:p w14:paraId="643EB2D1" w14:textId="77777777" w:rsidR="0055205C" w:rsidRPr="00510AD0" w:rsidRDefault="0055205C" w:rsidP="0070095F">
            <w:pPr>
              <w:keepNext/>
              <w:jc w:val="right"/>
            </w:pPr>
            <w:r w:rsidRPr="00510AD0">
              <w:t>Signature:</w:t>
            </w:r>
          </w:p>
        </w:tc>
        <w:tc>
          <w:tcPr>
            <w:tcW w:w="3495" w:type="dxa"/>
            <w:tcBorders>
              <w:bottom w:val="single" w:sz="4" w:space="0" w:color="auto"/>
            </w:tcBorders>
            <w:vAlign w:val="bottom"/>
          </w:tcPr>
          <w:p w14:paraId="545EEF8A" w14:textId="77777777" w:rsidR="0055205C" w:rsidRPr="00510AD0" w:rsidRDefault="0055205C" w:rsidP="0070095F">
            <w:pPr>
              <w:keepNext/>
            </w:pPr>
          </w:p>
        </w:tc>
        <w:tc>
          <w:tcPr>
            <w:tcW w:w="1275" w:type="dxa"/>
            <w:vAlign w:val="bottom"/>
          </w:tcPr>
          <w:p w14:paraId="59186563" w14:textId="77777777" w:rsidR="0055205C" w:rsidRPr="00510AD0" w:rsidRDefault="0055205C" w:rsidP="0070095F">
            <w:pPr>
              <w:keepNext/>
              <w:jc w:val="right"/>
            </w:pPr>
            <w:r w:rsidRPr="00510AD0">
              <w:t>Signature:</w:t>
            </w:r>
          </w:p>
        </w:tc>
        <w:tc>
          <w:tcPr>
            <w:tcW w:w="3474" w:type="dxa"/>
            <w:tcBorders>
              <w:bottom w:val="single" w:sz="4" w:space="0" w:color="auto"/>
            </w:tcBorders>
            <w:vAlign w:val="bottom"/>
          </w:tcPr>
          <w:p w14:paraId="17F66228" w14:textId="77777777" w:rsidR="0055205C" w:rsidRPr="00510AD0" w:rsidRDefault="0055205C" w:rsidP="0070095F">
            <w:pPr>
              <w:keepNext/>
            </w:pPr>
          </w:p>
        </w:tc>
      </w:tr>
      <w:tr w:rsidR="0055205C" w:rsidRPr="00510AD0" w14:paraId="4C083F03" w14:textId="77777777" w:rsidTr="00E57684">
        <w:trPr>
          <w:trHeight w:val="432"/>
        </w:trPr>
        <w:tc>
          <w:tcPr>
            <w:tcW w:w="1260" w:type="dxa"/>
            <w:vAlign w:val="bottom"/>
          </w:tcPr>
          <w:p w14:paraId="0C6416A7" w14:textId="77777777" w:rsidR="0055205C" w:rsidRPr="00510AD0" w:rsidRDefault="0055205C" w:rsidP="0070095F">
            <w:pPr>
              <w:keepNext/>
              <w:jc w:val="right"/>
            </w:pPr>
            <w:r w:rsidRPr="00510AD0">
              <w:t>Name:</w:t>
            </w:r>
          </w:p>
        </w:tc>
        <w:tc>
          <w:tcPr>
            <w:tcW w:w="3495" w:type="dxa"/>
            <w:tcBorders>
              <w:top w:val="single" w:sz="4" w:space="0" w:color="auto"/>
              <w:bottom w:val="single" w:sz="4" w:space="0" w:color="auto"/>
            </w:tcBorders>
            <w:vAlign w:val="bottom"/>
          </w:tcPr>
          <w:p w14:paraId="76C5B345" w14:textId="77777777" w:rsidR="0055205C" w:rsidRPr="00510AD0" w:rsidRDefault="0055205C" w:rsidP="00440AE0">
            <w:pPr>
              <w:keepNext/>
            </w:pPr>
          </w:p>
        </w:tc>
        <w:tc>
          <w:tcPr>
            <w:tcW w:w="1275" w:type="dxa"/>
            <w:vAlign w:val="bottom"/>
          </w:tcPr>
          <w:p w14:paraId="197B5D86" w14:textId="77777777" w:rsidR="0055205C" w:rsidRPr="00510AD0" w:rsidRDefault="0055205C" w:rsidP="0070095F">
            <w:pPr>
              <w:keepNext/>
              <w:jc w:val="right"/>
            </w:pPr>
            <w:r w:rsidRPr="00510AD0">
              <w:t>Name:</w:t>
            </w:r>
          </w:p>
        </w:tc>
        <w:tc>
          <w:tcPr>
            <w:tcW w:w="3474" w:type="dxa"/>
            <w:tcBorders>
              <w:top w:val="single" w:sz="4" w:space="0" w:color="auto"/>
              <w:bottom w:val="single" w:sz="4" w:space="0" w:color="auto"/>
            </w:tcBorders>
            <w:vAlign w:val="bottom"/>
          </w:tcPr>
          <w:p w14:paraId="2CBF901C" w14:textId="77777777" w:rsidR="0055205C" w:rsidRPr="00510AD0" w:rsidRDefault="0055205C" w:rsidP="0070095F">
            <w:pPr>
              <w:keepNext/>
            </w:pPr>
          </w:p>
        </w:tc>
      </w:tr>
      <w:tr w:rsidR="0055205C" w:rsidRPr="00510AD0" w14:paraId="1BAB06C6" w14:textId="77777777" w:rsidTr="00E57684">
        <w:trPr>
          <w:trHeight w:val="647"/>
        </w:trPr>
        <w:tc>
          <w:tcPr>
            <w:tcW w:w="1260" w:type="dxa"/>
            <w:vAlign w:val="bottom"/>
          </w:tcPr>
          <w:p w14:paraId="736642CF" w14:textId="77777777" w:rsidR="0055205C" w:rsidRPr="00510AD0" w:rsidRDefault="0055205C" w:rsidP="0070095F">
            <w:pPr>
              <w:keepNext/>
              <w:jc w:val="right"/>
            </w:pPr>
            <w:r w:rsidRPr="00510AD0">
              <w:t>Title:</w:t>
            </w:r>
          </w:p>
        </w:tc>
        <w:tc>
          <w:tcPr>
            <w:tcW w:w="3495" w:type="dxa"/>
            <w:tcBorders>
              <w:top w:val="single" w:sz="4" w:space="0" w:color="auto"/>
              <w:bottom w:val="single" w:sz="4" w:space="0" w:color="auto"/>
            </w:tcBorders>
            <w:vAlign w:val="bottom"/>
          </w:tcPr>
          <w:p w14:paraId="351DEE8B" w14:textId="77777777" w:rsidR="0055205C" w:rsidRPr="00510AD0" w:rsidRDefault="0055205C" w:rsidP="00440AE0">
            <w:pPr>
              <w:keepNext/>
            </w:pPr>
          </w:p>
        </w:tc>
        <w:tc>
          <w:tcPr>
            <w:tcW w:w="1275" w:type="dxa"/>
            <w:vAlign w:val="bottom"/>
          </w:tcPr>
          <w:p w14:paraId="58552156" w14:textId="77777777" w:rsidR="0055205C" w:rsidRPr="00510AD0" w:rsidRDefault="0055205C" w:rsidP="0070095F">
            <w:pPr>
              <w:keepNext/>
              <w:jc w:val="right"/>
            </w:pPr>
            <w:r w:rsidRPr="00510AD0">
              <w:t>Title:</w:t>
            </w:r>
          </w:p>
        </w:tc>
        <w:tc>
          <w:tcPr>
            <w:tcW w:w="3474" w:type="dxa"/>
            <w:tcBorders>
              <w:top w:val="single" w:sz="4" w:space="0" w:color="auto"/>
              <w:bottom w:val="single" w:sz="4" w:space="0" w:color="auto"/>
            </w:tcBorders>
            <w:vAlign w:val="bottom"/>
          </w:tcPr>
          <w:p w14:paraId="54ECCE16" w14:textId="77777777" w:rsidR="0055205C" w:rsidRPr="00510AD0" w:rsidRDefault="0055205C" w:rsidP="00595AC9">
            <w:pPr>
              <w:keepNext/>
            </w:pPr>
          </w:p>
        </w:tc>
      </w:tr>
      <w:tr w:rsidR="0055205C" w:rsidRPr="00510AD0" w14:paraId="15AFAD8A" w14:textId="77777777" w:rsidTr="00E57684">
        <w:trPr>
          <w:trHeight w:val="432"/>
        </w:trPr>
        <w:tc>
          <w:tcPr>
            <w:tcW w:w="1260" w:type="dxa"/>
            <w:vAlign w:val="bottom"/>
          </w:tcPr>
          <w:p w14:paraId="0B2F992C" w14:textId="77777777" w:rsidR="0055205C" w:rsidRPr="00510AD0" w:rsidRDefault="0055205C" w:rsidP="0070095F">
            <w:pPr>
              <w:jc w:val="right"/>
            </w:pPr>
            <w:r w:rsidRPr="00510AD0">
              <w:t>Date:</w:t>
            </w:r>
          </w:p>
        </w:tc>
        <w:tc>
          <w:tcPr>
            <w:tcW w:w="3495" w:type="dxa"/>
            <w:tcBorders>
              <w:top w:val="single" w:sz="4" w:space="0" w:color="auto"/>
              <w:bottom w:val="single" w:sz="4" w:space="0" w:color="auto"/>
            </w:tcBorders>
            <w:vAlign w:val="bottom"/>
          </w:tcPr>
          <w:p w14:paraId="3C13EC26" w14:textId="77777777" w:rsidR="0055205C" w:rsidRPr="00510AD0" w:rsidRDefault="0055205C" w:rsidP="0070095F"/>
        </w:tc>
        <w:tc>
          <w:tcPr>
            <w:tcW w:w="1275" w:type="dxa"/>
            <w:vAlign w:val="bottom"/>
          </w:tcPr>
          <w:p w14:paraId="63574C5D" w14:textId="77777777" w:rsidR="0055205C" w:rsidRPr="00510AD0" w:rsidRDefault="0055205C" w:rsidP="0070095F">
            <w:pPr>
              <w:jc w:val="right"/>
            </w:pPr>
            <w:r w:rsidRPr="00510AD0">
              <w:t>Date:</w:t>
            </w:r>
          </w:p>
        </w:tc>
        <w:tc>
          <w:tcPr>
            <w:tcW w:w="3474" w:type="dxa"/>
            <w:tcBorders>
              <w:top w:val="single" w:sz="4" w:space="0" w:color="auto"/>
              <w:bottom w:val="single" w:sz="4" w:space="0" w:color="auto"/>
            </w:tcBorders>
            <w:vAlign w:val="bottom"/>
          </w:tcPr>
          <w:p w14:paraId="27196E78" w14:textId="77777777" w:rsidR="0055205C" w:rsidRPr="00510AD0" w:rsidRDefault="0055205C" w:rsidP="00595AC9"/>
        </w:tc>
      </w:tr>
    </w:tbl>
    <w:p w14:paraId="0FA1469A" w14:textId="77777777" w:rsidR="0055205C" w:rsidRPr="00510AD0" w:rsidRDefault="0055205C" w:rsidP="0070095F">
      <w:pPr>
        <w:rPr>
          <w:b/>
        </w:rPr>
      </w:pPr>
    </w:p>
    <w:p w14:paraId="391E2FA7" w14:textId="77777777" w:rsidR="0055205C" w:rsidRPr="00510AD0" w:rsidRDefault="0055205C" w:rsidP="0070095F">
      <w:pPr>
        <w:sectPr w:rsidR="0055205C" w:rsidRPr="00510AD0" w:rsidSect="006E66CD">
          <w:pgSz w:w="12240" w:h="15840"/>
          <w:pgMar w:top="1440" w:right="1440" w:bottom="1440" w:left="1440" w:header="432" w:footer="432" w:gutter="0"/>
          <w:cols w:space="720"/>
          <w:docGrid w:linePitch="360"/>
        </w:sectPr>
      </w:pPr>
    </w:p>
    <w:p w14:paraId="5616EBDD" w14:textId="77777777" w:rsidR="0055205C" w:rsidRPr="00510AD0" w:rsidRDefault="0055205C" w:rsidP="00027CC8">
      <w:pPr>
        <w:pStyle w:val="Appendix"/>
      </w:pPr>
      <w:r w:rsidRPr="00510AD0">
        <w:lastRenderedPageBreak/>
        <w:t>APPENDIX I</w:t>
      </w:r>
      <w:r w:rsidRPr="00510AD0">
        <w:br/>
      </w:r>
      <w:r w:rsidRPr="00510AD0">
        <w:br/>
        <w:t>GENERAL DEFINITIONS</w:t>
      </w:r>
    </w:p>
    <w:p w14:paraId="48636117" w14:textId="77777777" w:rsidR="0055205C" w:rsidRPr="00510AD0" w:rsidRDefault="0055205C" w:rsidP="00E57684">
      <w:pPr>
        <w:pStyle w:val="BodyTextLeft"/>
      </w:pPr>
      <w:r w:rsidRPr="00510AD0">
        <w:t xml:space="preserve">For the purposes of this Agreement, the following terms have the meanings set forth below. Capitalized terms used but not otherwise defined herein shall have the meanings specified </w:t>
      </w:r>
      <w:bookmarkStart w:id="801" w:name="DocXTextRef205"/>
      <w:r w:rsidRPr="00510AD0">
        <w:t>(i)</w:t>
      </w:r>
      <w:bookmarkEnd w:id="801"/>
      <w:r w:rsidRPr="00510AD0">
        <w:t xml:space="preserve"> the case of Energy Settlement defined terms, in </w:t>
      </w:r>
      <w:r w:rsidRPr="00510AD0">
        <w:rPr>
          <w:u w:val="single"/>
        </w:rPr>
        <w:t>Appendix XVIII</w:t>
      </w:r>
      <w:r w:rsidRPr="00510AD0">
        <w:t xml:space="preserve">, (iii) in the case of Behind the Meter Project, in </w:t>
      </w:r>
      <w:r w:rsidRPr="00510AD0">
        <w:rPr>
          <w:u w:val="single"/>
        </w:rPr>
        <w:t>Appendix XIX</w:t>
      </w:r>
      <w:r w:rsidRPr="00510AD0">
        <w:t>, and otherwise (iii) in the CAISO Tariff.</w:t>
      </w:r>
    </w:p>
    <w:p w14:paraId="6E9B9874" w14:textId="77777777" w:rsidR="0055205C" w:rsidRPr="00510AD0" w:rsidRDefault="0055205C" w:rsidP="00E57684">
      <w:pPr>
        <w:pStyle w:val="BodyTextLeft"/>
      </w:pPr>
      <w:r w:rsidRPr="00510AD0">
        <w:t xml:space="preserve">“Affiliate” of a Person means any other Person that </w:t>
      </w:r>
      <w:bookmarkStart w:id="802" w:name="DocXTextRef207"/>
      <w:r w:rsidRPr="00510AD0">
        <w:t>(a)</w:t>
      </w:r>
      <w:bookmarkEnd w:id="802"/>
      <w:r w:rsidRPr="00510AD0">
        <w:t xml:space="preserve"> directly or indirectly controls the specified Person; </w:t>
      </w:r>
      <w:bookmarkStart w:id="803" w:name="DocXTextRef208"/>
      <w:r w:rsidRPr="00510AD0">
        <w:t>(b)</w:t>
      </w:r>
      <w:bookmarkEnd w:id="803"/>
      <w:r w:rsidRPr="00510AD0">
        <w:t xml:space="preserve"> is controlled by or is under direct or indirect common control with the specified Person; or </w:t>
      </w:r>
      <w:bookmarkStart w:id="804" w:name="DocXTextRef209"/>
      <w:r w:rsidRPr="00510AD0">
        <w:t>(c)</w:t>
      </w:r>
      <w:bookmarkEnd w:id="804"/>
      <w:r w:rsidRPr="00510AD0">
        <w:t xml:space="preserve">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62349A31" w14:textId="5D7AA160" w:rsidR="0055205C" w:rsidRPr="00510AD0" w:rsidRDefault="0055205C" w:rsidP="00E57684">
      <w:pPr>
        <w:pStyle w:val="BodyTextLeft"/>
      </w:pPr>
      <w:r w:rsidRPr="00510AD0">
        <w:t xml:space="preserve">“Agreement” means this CPE Resource Adequacy Agreement, and, together with each and every appendix, attachment, amendment, schedule and written supplement hereto, to the extent those are executed by the Parties (and for certain amendments consistent with the terms of Section </w:t>
      </w:r>
      <w:r w:rsidR="00E30D29" w:rsidRPr="00510AD0">
        <w:t>3.2(a)(ii)</w:t>
      </w:r>
      <w:r w:rsidRPr="00510AD0">
        <w:t>), constitutes the entire agreement of the Parties as to the matters set forth herein.</w:t>
      </w:r>
    </w:p>
    <w:p w14:paraId="4A32C00E" w14:textId="77777777" w:rsidR="0055205C" w:rsidRPr="00510AD0" w:rsidRDefault="0055205C" w:rsidP="00E57684">
      <w:pPr>
        <w:pStyle w:val="BodyTextLeft"/>
      </w:pPr>
      <w:r w:rsidRPr="00510AD0">
        <w:t>“Ancillary Services” has the meaning set forth in the CAISO Tariff.</w:t>
      </w:r>
    </w:p>
    <w:p w14:paraId="17FEC8CF" w14:textId="3396E53F" w:rsidR="0055205C" w:rsidRPr="00510AD0" w:rsidRDefault="0055205C" w:rsidP="00E57684">
      <w:pPr>
        <w:pStyle w:val="BodyTextLeft"/>
      </w:pPr>
      <w:r w:rsidRPr="00510AD0">
        <w:t xml:space="preserve">“Arbitration” has the meaning set forth in Section </w:t>
      </w:r>
      <w:r w:rsidR="00286173" w:rsidRPr="00510AD0">
        <w:fldChar w:fldCharType="begin"/>
      </w:r>
      <w:r w:rsidR="00286173" w:rsidRPr="00510AD0">
        <w:instrText xml:space="preserve">  REF _Ref69141800 \w \h \* MERGEFORMAT </w:instrText>
      </w:r>
      <w:r w:rsidR="00286173" w:rsidRPr="00510AD0">
        <w:fldChar w:fldCharType="separate"/>
      </w:r>
      <w:r w:rsidR="007751F5" w:rsidRPr="00510AD0">
        <w:rPr>
          <w:color w:val="000000"/>
        </w:rPr>
        <w:t>18.3</w:t>
      </w:r>
      <w:r w:rsidR="00286173" w:rsidRPr="00510AD0">
        <w:fldChar w:fldCharType="end"/>
      </w:r>
      <w:r w:rsidRPr="00510AD0">
        <w:t>.</w:t>
      </w:r>
    </w:p>
    <w:p w14:paraId="1F0BCA08" w14:textId="0330329C" w:rsidR="0055205C" w:rsidRPr="00510AD0" w:rsidRDefault="0055205C" w:rsidP="00E57684">
      <w:pPr>
        <w:pStyle w:val="BodyTextLeft"/>
      </w:pPr>
      <w:r w:rsidRPr="00510AD0">
        <w:t xml:space="preserve">“Authorized Representative” has the meaning set forth in Section </w:t>
      </w:r>
      <w:r w:rsidR="00286173" w:rsidRPr="00510AD0">
        <w:fldChar w:fldCharType="begin"/>
      </w:r>
      <w:r w:rsidR="00286173" w:rsidRPr="00510AD0">
        <w:instrText xml:space="preserve">  REF _Ref69141837 \w \h \* MERGEFORMAT </w:instrText>
      </w:r>
      <w:r w:rsidR="00286173" w:rsidRPr="00510AD0">
        <w:fldChar w:fldCharType="separate"/>
      </w:r>
      <w:r w:rsidR="007751F5" w:rsidRPr="00510AD0">
        <w:rPr>
          <w:color w:val="000000"/>
        </w:rPr>
        <w:t>20.7</w:t>
      </w:r>
      <w:r w:rsidR="00286173" w:rsidRPr="00510AD0">
        <w:fldChar w:fldCharType="end"/>
      </w:r>
      <w:r w:rsidRPr="00510AD0">
        <w:t xml:space="preserve">. </w:t>
      </w:r>
    </w:p>
    <w:p w14:paraId="22525D70" w14:textId="77777777" w:rsidR="0055205C" w:rsidRPr="00510AD0" w:rsidRDefault="0055205C" w:rsidP="00E57684">
      <w:pPr>
        <w:pStyle w:val="BodyTextLeft"/>
      </w:pPr>
      <w:r w:rsidRPr="00510AD0">
        <w:t>“Availability Incentive Payments” has the meaning set forth in the CAISO Tariff.</w:t>
      </w:r>
    </w:p>
    <w:p w14:paraId="4CD764EF" w14:textId="77777777" w:rsidR="0055205C" w:rsidRPr="00510AD0" w:rsidRDefault="0055205C" w:rsidP="00E57684">
      <w:pPr>
        <w:pStyle w:val="BodyTextLeft"/>
      </w:pPr>
      <w:r w:rsidRPr="00510AD0">
        <w:t>“Availability Standards” has the meaning set forth in the CAISO Tariff.</w:t>
      </w:r>
    </w:p>
    <w:p w14:paraId="7E47F718" w14:textId="77777777" w:rsidR="0055205C" w:rsidRPr="00510AD0" w:rsidRDefault="0055205C" w:rsidP="00E57684">
      <w:pPr>
        <w:pStyle w:val="BodyTextLeft"/>
      </w:pPr>
      <w:r w:rsidRPr="00510AD0">
        <w:t>“Balancing Authority” has the meaning set forth in the CAISO Tariff.</w:t>
      </w:r>
    </w:p>
    <w:p w14:paraId="29DF3E7E" w14:textId="155827A5" w:rsidR="0055205C" w:rsidRPr="00510AD0" w:rsidRDefault="0055205C" w:rsidP="00E57684">
      <w:pPr>
        <w:pStyle w:val="BodyTextLeft"/>
      </w:pPr>
      <w:bookmarkStart w:id="805" w:name="_Hlk58508083"/>
      <w:r w:rsidRPr="00510AD0">
        <w:t xml:space="preserve">“Bankrupt” means with respect to any entity, such entity that </w:t>
      </w:r>
      <w:bookmarkStart w:id="806" w:name="DocXTextRef214"/>
      <w:r w:rsidRPr="00510AD0">
        <w:t>(a)</w:t>
      </w:r>
      <w:bookmarkEnd w:id="806"/>
      <w:r w:rsidRPr="00510AD0">
        <w:t xml:space="preserve">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w:t>
      </w:r>
      <w:bookmarkStart w:id="807" w:name="DocXTextRef215"/>
      <w:r w:rsidRPr="00510AD0">
        <w:t>(b)</w:t>
      </w:r>
      <w:bookmarkEnd w:id="807"/>
      <w:r w:rsidRPr="00510AD0">
        <w:t xml:space="preserve"> makes an assignment or any general arrangement for the benefit of creditors, </w:t>
      </w:r>
      <w:bookmarkStart w:id="808" w:name="DocXTextRef216"/>
      <w:r w:rsidRPr="00510AD0">
        <w:t>(c)</w:t>
      </w:r>
      <w:bookmarkEnd w:id="808"/>
      <w:r w:rsidRPr="00510AD0">
        <w:t xml:space="preserve"> otherwise becomes bankrupt or insolvent (however evidenced), </w:t>
      </w:r>
      <w:bookmarkStart w:id="809" w:name="DocXTextRef217"/>
      <w:r w:rsidRPr="00510AD0">
        <w:t>(d)</w:t>
      </w:r>
      <w:bookmarkEnd w:id="809"/>
      <w:r w:rsidRPr="00510AD0">
        <w:t xml:space="preserve"> has a liquidator, administrator, receiver, trustee, conservator or similar official appointed with respect to it or any substantial portion of its property or assets, or </w:t>
      </w:r>
      <w:bookmarkStart w:id="810" w:name="DocXTextRef218"/>
      <w:r w:rsidRPr="00510AD0">
        <w:t>(e)</w:t>
      </w:r>
      <w:bookmarkEnd w:id="810"/>
      <w:r w:rsidRPr="00510AD0">
        <w:t xml:space="preserve"> is generally unable to pay its debts as they fall due.</w:t>
      </w:r>
    </w:p>
    <w:bookmarkEnd w:id="805"/>
    <w:p w14:paraId="1D8F4050" w14:textId="5E2CDB8F" w:rsidR="0055205C" w:rsidRPr="00510AD0" w:rsidRDefault="0055205C" w:rsidP="00E57684">
      <w:pPr>
        <w:pStyle w:val="BodyTextLeft"/>
      </w:pPr>
      <w:r w:rsidRPr="00510AD0">
        <w:t xml:space="preserve">“Behind the Meter Project” means the Project is located behind the retail meter as indicated in </w:t>
      </w:r>
      <w:r w:rsidRPr="00510AD0">
        <w:rPr>
          <w:u w:val="single"/>
        </w:rPr>
        <w:t>Appendix II</w:t>
      </w:r>
      <w:r w:rsidRPr="00510AD0">
        <w:t xml:space="preserve"> Part </w:t>
      </w:r>
      <w:bookmarkStart w:id="811" w:name="DocXTextRef220"/>
      <w:r w:rsidRPr="00510AD0">
        <w:t>A</w:t>
      </w:r>
      <w:bookmarkEnd w:id="811"/>
      <w:r w:rsidRPr="00510AD0">
        <w:t>.</w:t>
      </w:r>
    </w:p>
    <w:p w14:paraId="1BA30F1D" w14:textId="77777777" w:rsidR="0055205C" w:rsidRPr="00510AD0" w:rsidRDefault="0055205C" w:rsidP="00E57684">
      <w:pPr>
        <w:pStyle w:val="BodyTextLeft"/>
      </w:pPr>
      <w:r w:rsidRPr="00510AD0">
        <w:t>“Bid” shall have the meaning in the CAISO Tariff.</w:t>
      </w:r>
    </w:p>
    <w:p w14:paraId="59877B0A" w14:textId="77777777" w:rsidR="0055205C" w:rsidRPr="00510AD0" w:rsidRDefault="0055205C" w:rsidP="00E57684">
      <w:pPr>
        <w:pStyle w:val="BodyTextLeft"/>
      </w:pPr>
      <w:r w:rsidRPr="00510AD0">
        <w:lastRenderedPageBreak/>
        <w:t>“Business Day” means any day except Saturday, Sunday, or a Federal Reserve member bank holiday.</w:t>
      </w:r>
    </w:p>
    <w:p w14:paraId="3D880E9E" w14:textId="77777777" w:rsidR="0055205C" w:rsidRPr="00510AD0" w:rsidRDefault="0055205C" w:rsidP="00E57684">
      <w:pPr>
        <w:pStyle w:val="BodyTextLeft"/>
      </w:pPr>
      <w:r w:rsidRPr="00510AD0">
        <w:t xml:space="preserve">“Buyer” means PG&amp;E in its capacity as a purchaser of the Product as a Central Procurement Entity, as distinct from the function of PG&amp;E as a Utility Distribution Company, Participating TO or any other function.  </w:t>
      </w:r>
    </w:p>
    <w:p w14:paraId="27A59107" w14:textId="374B7971" w:rsidR="0055205C" w:rsidRPr="00510AD0" w:rsidRDefault="0055205C" w:rsidP="00E57684">
      <w:pPr>
        <w:pStyle w:val="BodyTextLeft"/>
      </w:pPr>
      <w:r w:rsidRPr="00510AD0">
        <w:t xml:space="preserve">“Buyer Group” has the meaning set forth in Section </w:t>
      </w:r>
      <w:r w:rsidR="00286173" w:rsidRPr="00510AD0">
        <w:fldChar w:fldCharType="begin"/>
      </w:r>
      <w:r w:rsidR="00286173" w:rsidRPr="00510AD0">
        <w:instrText xml:space="preserve">  REF _Ref69141741 \w \h \* MERGEFORMAT </w:instrText>
      </w:r>
      <w:r w:rsidR="00286173" w:rsidRPr="00510AD0">
        <w:fldChar w:fldCharType="separate"/>
      </w:r>
      <w:r w:rsidR="007751F5" w:rsidRPr="00510AD0">
        <w:rPr>
          <w:color w:val="000000"/>
        </w:rPr>
        <w:t>15.1</w:t>
      </w:r>
      <w:r w:rsidR="00286173" w:rsidRPr="00510AD0">
        <w:fldChar w:fldCharType="end"/>
      </w:r>
      <w:r w:rsidRPr="00510AD0">
        <w:t>.</w:t>
      </w:r>
    </w:p>
    <w:p w14:paraId="06A09E98" w14:textId="4BD453A7" w:rsidR="0055205C" w:rsidRPr="00510AD0" w:rsidRDefault="0055205C" w:rsidP="00E57684">
      <w:pPr>
        <w:pStyle w:val="BodyTextLeft"/>
      </w:pPr>
      <w:r w:rsidRPr="00510AD0">
        <w:t xml:space="preserve">“Buyer Revenues” has the meaning set forth in Section </w:t>
      </w:r>
      <w:r w:rsidR="00286173" w:rsidRPr="00510AD0">
        <w:fldChar w:fldCharType="begin"/>
      </w:r>
      <w:r w:rsidR="00286173" w:rsidRPr="00510AD0">
        <w:instrText xml:space="preserve">  REF _Ref69141608 \w \h \* MERGEFORMAT </w:instrText>
      </w:r>
      <w:r w:rsidR="00286173" w:rsidRPr="00510AD0">
        <w:fldChar w:fldCharType="separate"/>
      </w:r>
      <w:r w:rsidR="007751F5" w:rsidRPr="00510AD0">
        <w:rPr>
          <w:color w:val="000000"/>
        </w:rPr>
        <w:t>6.3(b)</w:t>
      </w:r>
      <w:r w:rsidR="00286173" w:rsidRPr="00510AD0">
        <w:fldChar w:fldCharType="end"/>
      </w:r>
      <w:r w:rsidRPr="00510AD0">
        <w:t>.</w:t>
      </w:r>
    </w:p>
    <w:p w14:paraId="5AF0E4BD" w14:textId="77777777" w:rsidR="0055205C" w:rsidRPr="00510AD0" w:rsidRDefault="0055205C" w:rsidP="00E57684">
      <w:pPr>
        <w:pStyle w:val="BodyTextLeft"/>
      </w:pPr>
      <w:r w:rsidRPr="00510AD0">
        <w:t>“CAISO” means the California Independent System Operator Corporation or any successor entity performing similar functions.</w:t>
      </w:r>
    </w:p>
    <w:p w14:paraId="7480B8B9" w14:textId="6A339B60" w:rsidR="0055205C" w:rsidRPr="00510AD0" w:rsidRDefault="0055205C" w:rsidP="00E57684">
      <w:pPr>
        <w:pStyle w:val="BodyTextLeft"/>
      </w:pPr>
      <w:r w:rsidRPr="00510AD0">
        <w:t>“CAISO Final Local Capacity Technical Study</w:t>
      </w:r>
      <w:r w:rsidR="006D3356" w:rsidRPr="00510AD0">
        <w:t>”</w:t>
      </w:r>
      <w:r w:rsidRPr="00510AD0">
        <w:t xml:space="preserve"> means Attachment A titled “List of physical resources by PTO, local area and market ID” of the CPUC Rulemaking</w:t>
      </w:r>
      <w:r w:rsidR="002B723B" w:rsidRPr="00510AD0">
        <w:t xml:space="preserve"> for the applicable year during the Delivery Term. </w:t>
      </w:r>
    </w:p>
    <w:p w14:paraId="093B9A08" w14:textId="77777777" w:rsidR="0055205C" w:rsidRPr="00510AD0" w:rsidRDefault="0055205C" w:rsidP="00E57684">
      <w:pPr>
        <w:pStyle w:val="BodyTextLeft"/>
      </w:pPr>
      <w:r w:rsidRPr="00510AD0">
        <w:t>“CAISO Grid” means the system of transmission lines and associated facilities of the Participating Transmission Owners that have been placed under the CAISO’s operational control.</w:t>
      </w:r>
    </w:p>
    <w:p w14:paraId="4E90CC18" w14:textId="591CB8C0" w:rsidR="0055205C" w:rsidRPr="00510AD0" w:rsidRDefault="0055205C" w:rsidP="00E57684">
      <w:pPr>
        <w:pStyle w:val="BodyTextLeft"/>
      </w:pPr>
      <w:r w:rsidRPr="00510AD0">
        <w:t>“CAISO Markets” has the meaning set forth in the CAISO Tariff.</w:t>
      </w:r>
    </w:p>
    <w:p w14:paraId="3DE88A8C" w14:textId="304EC57D" w:rsidR="002B723B" w:rsidRPr="00510AD0" w:rsidRDefault="002B723B" w:rsidP="002B723B">
      <w:pPr>
        <w:pStyle w:val="BodyTextLeft"/>
      </w:pPr>
      <w:r w:rsidRPr="00510AD0">
        <w:t>“CAISO NQC List” means the Final Net Qualifying Capacity Report published by the CAISO or any successor report.</w:t>
      </w:r>
    </w:p>
    <w:p w14:paraId="2B50F5C1" w14:textId="78926FB9" w:rsidR="0055205C" w:rsidRPr="00510AD0" w:rsidRDefault="0055205C" w:rsidP="00E57684">
      <w:pPr>
        <w:pStyle w:val="BodyTextLeft"/>
      </w:pPr>
      <w:r w:rsidRPr="00510AD0">
        <w:t xml:space="preserve">“CAISO Tariff” </w:t>
      </w:r>
      <w:r w:rsidR="002B723B" w:rsidRPr="00510AD0">
        <w:t xml:space="preserve">or “Tariff” </w:t>
      </w:r>
      <w:r w:rsidRPr="00510AD0">
        <w:t>means the CAISO Fifth Replacement FERC Electric Tariff and protocol provisions, including any CAISO-published procedures or business practice manuals, as they may be amended, supplemented or replaced (in whole or in part) from time to time.</w:t>
      </w:r>
    </w:p>
    <w:p w14:paraId="5BF0A442" w14:textId="77777777" w:rsidR="0055205C" w:rsidRPr="00510AD0" w:rsidRDefault="0055205C" w:rsidP="00E57684">
      <w:pPr>
        <w:pStyle w:val="BodyTextLeft"/>
      </w:pPr>
      <w:r w:rsidRPr="00510AD0">
        <w:t>“Capacity Attributes” means any and all of the following attributes:</w:t>
      </w:r>
    </w:p>
    <w:p w14:paraId="39DA6C31" w14:textId="13BBFD98" w:rsidR="0055205C" w:rsidRPr="00510AD0" w:rsidRDefault="0055205C" w:rsidP="00E57684">
      <w:pPr>
        <w:pStyle w:val="BodyText"/>
      </w:pPr>
      <w:r w:rsidRPr="00510AD0">
        <w:t>(a)</w:t>
      </w:r>
      <w:r w:rsidRPr="00510AD0">
        <w:tab/>
      </w:r>
      <w:r w:rsidR="002B723B" w:rsidRPr="00510AD0">
        <w:t xml:space="preserve">System RA Attributes and Local </w:t>
      </w:r>
      <w:r w:rsidRPr="00510AD0">
        <w:t xml:space="preserve">RA Attributes, </w:t>
      </w:r>
    </w:p>
    <w:p w14:paraId="0B756314" w14:textId="77777777" w:rsidR="0055205C" w:rsidRPr="00510AD0" w:rsidRDefault="0055205C" w:rsidP="00E57684">
      <w:pPr>
        <w:pStyle w:val="BodyText"/>
      </w:pPr>
      <w:r w:rsidRPr="00510AD0">
        <w:t>(b)</w:t>
      </w:r>
      <w:r w:rsidRPr="00510AD0">
        <w:tab/>
        <w:t>Flexible RA Attributes, and</w:t>
      </w:r>
    </w:p>
    <w:p w14:paraId="3166B07C" w14:textId="77777777" w:rsidR="0055205C" w:rsidRPr="00510AD0" w:rsidRDefault="0055205C" w:rsidP="00E57684">
      <w:pPr>
        <w:pStyle w:val="BodyText"/>
      </w:pPr>
      <w:r w:rsidRPr="00510AD0">
        <w:t>(c)</w:t>
      </w:r>
      <w:r w:rsidRPr="00510AD0">
        <w:tab/>
        <w:t xml:space="preserve">Other Capacity Attributes. </w:t>
      </w:r>
    </w:p>
    <w:p w14:paraId="4B8D640E" w14:textId="77777777" w:rsidR="0055205C" w:rsidRPr="00510AD0" w:rsidRDefault="0055205C" w:rsidP="00E57684">
      <w:pPr>
        <w:pStyle w:val="BodyTextLeft"/>
      </w:pPr>
      <w:r w:rsidRPr="00510AD0">
        <w:t>“CARB” means the California Air Resources Board or any successor entity performing similar functions.</w:t>
      </w:r>
    </w:p>
    <w:p w14:paraId="0A445338" w14:textId="77777777" w:rsidR="0055205C" w:rsidRPr="00510AD0" w:rsidRDefault="0055205C" w:rsidP="00E57684">
      <w:pPr>
        <w:pStyle w:val="BodyTextLeft"/>
      </w:pPr>
      <w:r w:rsidRPr="00510AD0">
        <w:t>“CEC” means the California Energy Commission or any successor entity performing similar functions.</w:t>
      </w:r>
    </w:p>
    <w:p w14:paraId="7A392E8F" w14:textId="5571CB84" w:rsidR="0055205C" w:rsidRPr="00510AD0" w:rsidRDefault="0055205C" w:rsidP="00E57684">
      <w:pPr>
        <w:pStyle w:val="BodyTextLeft"/>
      </w:pPr>
      <w:r w:rsidRPr="00510AD0">
        <w:t xml:space="preserve">“Change Notice” has the meaning set forth in Section </w:t>
      </w:r>
      <w:r w:rsidR="00E30D29" w:rsidRPr="00510AD0">
        <w:t>3.2(a)(ii)</w:t>
      </w:r>
      <w:r w:rsidRPr="00510AD0">
        <w:t xml:space="preserve">. </w:t>
      </w:r>
    </w:p>
    <w:p w14:paraId="7EBC0C05" w14:textId="752A3861" w:rsidR="0055205C" w:rsidRPr="00510AD0" w:rsidRDefault="0055205C" w:rsidP="00E57684">
      <w:pPr>
        <w:pStyle w:val="BodyTextLeft"/>
      </w:pPr>
      <w:r w:rsidRPr="00510AD0">
        <w:lastRenderedPageBreak/>
        <w:t xml:space="preserve">“Central Procurement Entity” means the central procurement entity designated as such by CPUC in the </w:t>
      </w:r>
      <w:r w:rsidR="008D3BA7" w:rsidRPr="00510AD0">
        <w:t>Local RA Central Procurement Decisions</w:t>
      </w:r>
      <w:r w:rsidRPr="00510AD0">
        <w:t>.</w:t>
      </w:r>
    </w:p>
    <w:p w14:paraId="0F262790" w14:textId="1B89F1C6" w:rsidR="0055205C" w:rsidRPr="00510AD0" w:rsidRDefault="0055205C" w:rsidP="00E57684">
      <w:pPr>
        <w:pStyle w:val="BodyTextLeft"/>
      </w:pPr>
      <w:r w:rsidRPr="00510AD0">
        <w:t xml:space="preserve">“Commercially Operable” with respect to the Project, is a condition occurring after such time as Mechanical Completion has occurred, commissioning is complete, and the Project has been released by the EPC Contractor to Project Company for commercial operations. </w:t>
      </w:r>
    </w:p>
    <w:p w14:paraId="45C869A6" w14:textId="77777777" w:rsidR="0055205C" w:rsidRPr="00510AD0" w:rsidRDefault="0055205C" w:rsidP="00E57684">
      <w:pPr>
        <w:pStyle w:val="BodyTextLeft"/>
      </w:pPr>
      <w:r w:rsidRPr="00510AD0">
        <w:t xml:space="preserve">“Commercial Operation Date” means the date stated in Seller’s Notice, substantially in the form of </w:t>
      </w:r>
      <w:r w:rsidRPr="00510AD0">
        <w:rPr>
          <w:u w:val="single"/>
        </w:rPr>
        <w:t>Appendix VI-A</w:t>
      </w:r>
      <w:r w:rsidRPr="00510AD0">
        <w:t>, upon which the Project became Commercially Operable.</w:t>
      </w:r>
    </w:p>
    <w:p w14:paraId="3489D0D5" w14:textId="77777777" w:rsidR="0055205C" w:rsidRPr="00510AD0" w:rsidRDefault="0055205C" w:rsidP="00E57684">
      <w:pPr>
        <w:pStyle w:val="BodyTextLeft"/>
      </w:pPr>
      <w:bookmarkStart w:id="812" w:name="_Hlk64993000"/>
      <w:r w:rsidRPr="00510AD0">
        <w:t>“Compliance Obligations” means any RAR, Local RAR, Flexible RAR and any other resource adequacy or capacity procurement requirements imposed by the CPUC pursuant to the CPUC Decisions, by the CAISO, by the WECC, or by any other Governmental Authority having jurisdiction.</w:t>
      </w:r>
    </w:p>
    <w:p w14:paraId="6BCA9393" w14:textId="77777777" w:rsidR="00994F33" w:rsidRPr="00510AD0" w:rsidRDefault="00994F33" w:rsidP="00994F33">
      <w:pPr>
        <w:pStyle w:val="BodyTextLeft"/>
      </w:pPr>
      <w:r w:rsidRPr="00510AD0">
        <w:t>“Compliance Showings” means the total combination of (a) through (d) below that Buyer is required to make to the CPUC pursuant to the CPUC Decisions, the CAISO per the CAISO Tariff, or to any Governmental Authority having jurisdiction: (a) Local RAR compliance or advisory showings (or similar or successor showings), (b) RAR compliance or advisory showings (or similar or successor showings), (c) Flexible RAR compliance or advisory showings (or similar or successor showings), (d) other Capacity Attributes compliance or advisory showings (or similar or successor showings), and (e) CAISO Resource Adequacy Plan Submittals.</w:t>
      </w:r>
    </w:p>
    <w:bookmarkEnd w:id="812"/>
    <w:p w14:paraId="4EE510CF" w14:textId="782C2D49" w:rsidR="0055205C" w:rsidRDefault="0055205C" w:rsidP="00E57684">
      <w:pPr>
        <w:pStyle w:val="BodyTextLeft"/>
      </w:pPr>
      <w:r w:rsidRPr="00510AD0">
        <w:t xml:space="preserve">“Conditions Precedent” has the meaning set forth in Section </w:t>
      </w:r>
      <w:r w:rsidR="00286173" w:rsidRPr="00510AD0">
        <w:fldChar w:fldCharType="begin"/>
      </w:r>
      <w:r w:rsidR="00286173" w:rsidRPr="00510AD0">
        <w:instrText xml:space="preserve">  REF _Ref69141550 \w \h \* MERGEFORMAT </w:instrText>
      </w:r>
      <w:r w:rsidR="00286173" w:rsidRPr="00510AD0">
        <w:fldChar w:fldCharType="separate"/>
      </w:r>
      <w:r w:rsidR="007751F5" w:rsidRPr="00510AD0">
        <w:rPr>
          <w:color w:val="000000"/>
        </w:rPr>
        <w:t>2.1</w:t>
      </w:r>
      <w:r w:rsidR="00286173" w:rsidRPr="00510AD0">
        <w:fldChar w:fldCharType="end"/>
      </w:r>
      <w:r w:rsidRPr="00510AD0">
        <w:t>.</w:t>
      </w:r>
    </w:p>
    <w:p w14:paraId="51D2472C" w14:textId="2734C53D" w:rsidR="006F0837" w:rsidRPr="006F0837" w:rsidRDefault="006F0837" w:rsidP="00E57684">
      <w:pPr>
        <w:pStyle w:val="BodyTextLeft"/>
      </w:pPr>
      <w:r>
        <w:t>“Confidential Information” has the meaning set forth in Section 19.1.</w:t>
      </w:r>
    </w:p>
    <w:p w14:paraId="7ACAAF6C" w14:textId="2A08A69D" w:rsidR="0055205C" w:rsidRPr="00510AD0" w:rsidRDefault="0055205C" w:rsidP="00E57684">
      <w:pPr>
        <w:pStyle w:val="BodyTextLeft"/>
      </w:pPr>
      <w:r w:rsidRPr="00510AD0">
        <w:t xml:space="preserve">“Confirmed Quantity” has the meaning set forth in Section </w:t>
      </w:r>
      <w:r w:rsidR="00286173" w:rsidRPr="00510AD0">
        <w:fldChar w:fldCharType="begin"/>
      </w:r>
      <w:r w:rsidR="00286173" w:rsidRPr="00510AD0">
        <w:instrText xml:space="preserve">  REF _Ref69141601 \w \h \* MERGEFORMAT </w:instrText>
      </w:r>
      <w:r w:rsidR="00286173" w:rsidRPr="00510AD0">
        <w:fldChar w:fldCharType="separate"/>
      </w:r>
      <w:r w:rsidR="007751F5" w:rsidRPr="00510AD0">
        <w:rPr>
          <w:color w:val="000000"/>
        </w:rPr>
        <w:t>5.1</w:t>
      </w:r>
      <w:r w:rsidR="00286173" w:rsidRPr="00510AD0">
        <w:fldChar w:fldCharType="end"/>
      </w:r>
      <w:r w:rsidRPr="00510AD0">
        <w:t>.</w:t>
      </w:r>
    </w:p>
    <w:p w14:paraId="6855856E" w14:textId="3BA73AAF" w:rsidR="0055205C" w:rsidRPr="00510AD0" w:rsidRDefault="0055205C" w:rsidP="00E57684">
      <w:pPr>
        <w:pStyle w:val="BodyTextLeft"/>
      </w:pPr>
      <w:r w:rsidRPr="00510AD0">
        <w:t>“Contractor” means the EPC Contractor and its subcontractors, as well as Seller or Seller’s Affiliates or Project Company or Project Company’s Affiliate</w:t>
      </w:r>
      <w:r w:rsidR="00DB500D" w:rsidRPr="00510AD0">
        <w:t>s</w:t>
      </w:r>
      <w:r w:rsidRPr="00510AD0">
        <w:t xml:space="preserve"> if any such entities are developing, constructing, operating or maintaining the Project during the Term, and any entity or person under contract with Seller or </w:t>
      </w:r>
      <w:r w:rsidR="00E37287" w:rsidRPr="00510AD0">
        <w:t xml:space="preserve">Seller’s </w:t>
      </w:r>
      <w:r w:rsidRPr="00510AD0">
        <w:t>Affiliates or Project Company and its Affiliates, as applicable, for the purpose of developing, constructing, operating or maintaining the Project during the Term.</w:t>
      </w:r>
    </w:p>
    <w:p w14:paraId="19D65A02" w14:textId="77777777" w:rsidR="0055205C" w:rsidRPr="00510AD0" w:rsidRDefault="0055205C" w:rsidP="00E57684">
      <w:pPr>
        <w:pStyle w:val="BodyTextLeft"/>
      </w:pPr>
      <w:r w:rsidRPr="00510AD0">
        <w:t xml:space="preserve">“Contract Month” means a period of one (1) calendar month; the first Contract Month shall commence on the Initial Delivery Date; and each subsequent Contract Month shall commence on the first day of the subsequent calendar month.  </w:t>
      </w:r>
    </w:p>
    <w:p w14:paraId="4F47CBD4" w14:textId="17EC1DCB" w:rsidR="0055205C" w:rsidRPr="00510AD0" w:rsidRDefault="0055205C" w:rsidP="00E57684">
      <w:pPr>
        <w:pStyle w:val="BodyTextLeft"/>
      </w:pPr>
      <w:r w:rsidRPr="00510AD0">
        <w:t xml:space="preserve">“Contract Price” means the amount specified in Section </w:t>
      </w:r>
      <w:r w:rsidR="00286173" w:rsidRPr="00510AD0">
        <w:fldChar w:fldCharType="begin"/>
      </w:r>
      <w:r w:rsidR="00286173" w:rsidRPr="00510AD0">
        <w:instrText xml:space="preserve">  REF _Ref69141575 \w \h \* MERGEFORMAT </w:instrText>
      </w:r>
      <w:r w:rsidR="00286173" w:rsidRPr="00510AD0">
        <w:fldChar w:fldCharType="separate"/>
      </w:r>
      <w:r w:rsidR="007751F5" w:rsidRPr="00510AD0">
        <w:rPr>
          <w:color w:val="000000"/>
        </w:rPr>
        <w:t>3.2(a)(iii)</w:t>
      </w:r>
      <w:r w:rsidR="00286173" w:rsidRPr="00510AD0">
        <w:fldChar w:fldCharType="end"/>
      </w:r>
      <w:r w:rsidRPr="00510AD0">
        <w:t>.</w:t>
      </w:r>
    </w:p>
    <w:p w14:paraId="106368B4" w14:textId="77777777" w:rsidR="0055205C" w:rsidRPr="00510AD0" w:rsidRDefault="0055205C" w:rsidP="00E57684">
      <w:pPr>
        <w:pStyle w:val="BodyTextLeft"/>
      </w:pPr>
      <w:r w:rsidRPr="00510AD0">
        <w:t xml:space="preserve">“Costs”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 </w:t>
      </w:r>
    </w:p>
    <w:p w14:paraId="50B48187" w14:textId="77777777" w:rsidR="0055205C" w:rsidRPr="00510AD0" w:rsidRDefault="0055205C" w:rsidP="00E57684">
      <w:pPr>
        <w:pStyle w:val="BodyTextLeft"/>
      </w:pPr>
      <w:r w:rsidRPr="00510AD0">
        <w:lastRenderedPageBreak/>
        <w:t>“CPM” means “Capacity Procurement Mechanism” and has the meaning set forth in the CAISO Tariff and is inclusive of any successor mechanisms authorized by CAISO.</w:t>
      </w:r>
    </w:p>
    <w:p w14:paraId="37DA0477" w14:textId="77777777" w:rsidR="0055205C" w:rsidRPr="00510AD0" w:rsidRDefault="0055205C" w:rsidP="00E57684">
      <w:pPr>
        <w:pStyle w:val="BodyTextLeft"/>
      </w:pPr>
      <w:r w:rsidRPr="00510AD0">
        <w:t>“CPM Capacity” has the meaning set forth in the CAISO Tariff.</w:t>
      </w:r>
    </w:p>
    <w:p w14:paraId="41EA1CB3" w14:textId="77777777" w:rsidR="0055205C" w:rsidRPr="00510AD0" w:rsidRDefault="0055205C" w:rsidP="00E57684">
      <w:pPr>
        <w:pStyle w:val="BodyTextLeft"/>
      </w:pPr>
      <w:r w:rsidRPr="00510AD0">
        <w:t>“CPUC” or “Commission” means the California Public Utilities Commission or any successor entity performing similar functions.</w:t>
      </w:r>
    </w:p>
    <w:p w14:paraId="56C27A6B" w14:textId="40688918" w:rsidR="0018576A" w:rsidRPr="00510AD0" w:rsidRDefault="0041580A" w:rsidP="0018576A">
      <w:pPr>
        <w:autoSpaceDE w:val="0"/>
        <w:autoSpaceDN w:val="0"/>
        <w:adjustRightInd w:val="0"/>
      </w:pPr>
      <w:r w:rsidRPr="00510AD0">
        <w:t>[</w:t>
      </w:r>
      <w:r w:rsidR="00182361" w:rsidRPr="00510AD0">
        <w:t>“</w:t>
      </w:r>
      <w:r w:rsidR="0018576A" w:rsidRPr="00510AD0">
        <w:t>CPUC Approval</w:t>
      </w:r>
      <w:r w:rsidR="00182361" w:rsidRPr="00510AD0">
        <w:t>”</w:t>
      </w:r>
      <w:r w:rsidR="0018576A" w:rsidRPr="00510AD0">
        <w:t xml:space="preserve"> means a final and non-appealable order of the CPUC, without conditions or</w:t>
      </w:r>
    </w:p>
    <w:p w14:paraId="7DDF5201" w14:textId="77777777" w:rsidR="0018576A" w:rsidRPr="00510AD0" w:rsidRDefault="0018576A" w:rsidP="0018576A">
      <w:pPr>
        <w:autoSpaceDE w:val="0"/>
        <w:autoSpaceDN w:val="0"/>
        <w:adjustRightInd w:val="0"/>
      </w:pPr>
      <w:r w:rsidRPr="00510AD0">
        <w:t>modifications unacceptable to the Parties, or either of them, which contains the following terms:</w:t>
      </w:r>
    </w:p>
    <w:p w14:paraId="7B59E938" w14:textId="77777777" w:rsidR="00182361" w:rsidRPr="00510AD0" w:rsidRDefault="00182361" w:rsidP="0018576A">
      <w:pPr>
        <w:autoSpaceDE w:val="0"/>
        <w:autoSpaceDN w:val="0"/>
        <w:adjustRightInd w:val="0"/>
      </w:pPr>
    </w:p>
    <w:p w14:paraId="496F99C4" w14:textId="77777777" w:rsidR="00453F08" w:rsidRPr="00510AD0" w:rsidRDefault="00453F08" w:rsidP="00453F08">
      <w:pPr>
        <w:autoSpaceDE w:val="0"/>
        <w:autoSpaceDN w:val="0"/>
        <w:adjustRightInd w:val="0"/>
        <w:ind w:firstLine="720"/>
      </w:pPr>
      <w:r w:rsidRPr="00510AD0">
        <w:t>(a) approves of this Agreement in its entirety, including payments to be made by the</w:t>
      </w:r>
    </w:p>
    <w:p w14:paraId="596ABF5B" w14:textId="77777777" w:rsidR="00453F08" w:rsidRPr="00510AD0" w:rsidRDefault="00453F08" w:rsidP="00453F08">
      <w:pPr>
        <w:autoSpaceDE w:val="0"/>
        <w:autoSpaceDN w:val="0"/>
        <w:adjustRightInd w:val="0"/>
      </w:pPr>
      <w:r w:rsidRPr="00510AD0">
        <w:t xml:space="preserve">Buyer, subject to CPUC review of the Buyer’s administration of this Agreement; and  </w:t>
      </w:r>
    </w:p>
    <w:p w14:paraId="6F3BE703" w14:textId="77777777" w:rsidR="00453F08" w:rsidRPr="00510AD0" w:rsidRDefault="00453F08" w:rsidP="00453F08">
      <w:pPr>
        <w:autoSpaceDE w:val="0"/>
        <w:autoSpaceDN w:val="0"/>
        <w:adjustRightInd w:val="0"/>
      </w:pPr>
      <w:r w:rsidRPr="00510AD0">
        <w:tab/>
      </w:r>
    </w:p>
    <w:p w14:paraId="681A5FF0" w14:textId="77777777" w:rsidR="00453F08" w:rsidRPr="00510AD0" w:rsidRDefault="00453F08" w:rsidP="00453F08">
      <w:pPr>
        <w:autoSpaceDE w:val="0"/>
        <w:autoSpaceDN w:val="0"/>
        <w:adjustRightInd w:val="0"/>
      </w:pPr>
      <w:r w:rsidRPr="00510AD0">
        <w:tab/>
        <w:t xml:space="preserve">(b) finds that procurement under this Agreement counts as proposed by Buyer toward the Local RAR established by the CPUC Decisions. </w:t>
      </w:r>
    </w:p>
    <w:p w14:paraId="428878E6" w14:textId="77777777" w:rsidR="007B6811" w:rsidRPr="00510AD0" w:rsidRDefault="007B6811" w:rsidP="0018576A">
      <w:pPr>
        <w:autoSpaceDE w:val="0"/>
        <w:autoSpaceDN w:val="0"/>
        <w:adjustRightInd w:val="0"/>
      </w:pPr>
    </w:p>
    <w:p w14:paraId="0892DC82" w14:textId="77777777" w:rsidR="0018576A" w:rsidRPr="00510AD0" w:rsidRDefault="0018576A" w:rsidP="007B6811">
      <w:pPr>
        <w:autoSpaceDE w:val="0"/>
        <w:autoSpaceDN w:val="0"/>
        <w:adjustRightInd w:val="0"/>
        <w:ind w:firstLine="720"/>
      </w:pPr>
      <w:r w:rsidRPr="00510AD0">
        <w:t>CPUC Approval will be deemed to have occurred on the first day it can be legally determined</w:t>
      </w:r>
      <w:r w:rsidR="007B6811" w:rsidRPr="00510AD0">
        <w:t xml:space="preserve"> that a final CPUC order containing such findings has become non-appealable.</w:t>
      </w:r>
    </w:p>
    <w:p w14:paraId="05222F9C" w14:textId="77777777" w:rsidR="007B6811" w:rsidRPr="00510AD0" w:rsidRDefault="007B6811" w:rsidP="007661F7">
      <w:pPr>
        <w:autoSpaceDE w:val="0"/>
        <w:autoSpaceDN w:val="0"/>
        <w:adjustRightInd w:val="0"/>
        <w:ind w:firstLine="720"/>
      </w:pPr>
    </w:p>
    <w:p w14:paraId="0B8938FC" w14:textId="55323249" w:rsidR="0018576A" w:rsidRPr="00510AD0" w:rsidRDefault="007B6811" w:rsidP="0018576A">
      <w:pPr>
        <w:pStyle w:val="BodyTextLeft"/>
      </w:pPr>
      <w:r w:rsidRPr="00510AD0">
        <w:t>“</w:t>
      </w:r>
      <w:r w:rsidR="0018576A" w:rsidRPr="00510AD0">
        <w:t>CPUC Approval Condition Precedent” has the meaning set forth in Section 1.3.</w:t>
      </w:r>
      <w:r w:rsidR="0041580A" w:rsidRPr="00510AD0">
        <w:t>]</w:t>
      </w:r>
      <w:r w:rsidR="0041580A" w:rsidRPr="00510AD0">
        <w:rPr>
          <w:rStyle w:val="FootnoteReference"/>
        </w:rPr>
        <w:footnoteReference w:id="39"/>
      </w:r>
    </w:p>
    <w:p w14:paraId="0AA547E1" w14:textId="0BB15B41" w:rsidR="0055205C" w:rsidRPr="00510AD0" w:rsidRDefault="0055205C" w:rsidP="00E57684">
      <w:pPr>
        <w:pStyle w:val="BodyTextLeft"/>
      </w:pPr>
      <w:r w:rsidRPr="00510AD0">
        <w:t xml:space="preserve">“CPUC Decisions” means CPUC Decisions </w:t>
      </w:r>
      <w:bookmarkStart w:id="813" w:name="DocXTextRef241"/>
      <w:r w:rsidRPr="00510AD0">
        <w:t>04</w:t>
      </w:r>
      <w:bookmarkEnd w:id="813"/>
      <w:r w:rsidRPr="00510AD0">
        <w:t>-</w:t>
      </w:r>
      <w:bookmarkStart w:id="814" w:name="DocXTextRef240"/>
      <w:r w:rsidRPr="00510AD0">
        <w:t>01</w:t>
      </w:r>
      <w:bookmarkEnd w:id="814"/>
      <w:r w:rsidRPr="00510AD0">
        <w:t xml:space="preserve">-050, </w:t>
      </w:r>
      <w:bookmarkStart w:id="815" w:name="DocXTextRef242"/>
      <w:r w:rsidRPr="00510AD0">
        <w:t>04</w:t>
      </w:r>
      <w:bookmarkEnd w:id="815"/>
      <w:r w:rsidRPr="00510AD0">
        <w:t xml:space="preserve">-10-035, </w:t>
      </w:r>
      <w:bookmarkStart w:id="816" w:name="DocXTextRef243"/>
      <w:r w:rsidRPr="00510AD0">
        <w:t>05</w:t>
      </w:r>
      <w:bookmarkEnd w:id="816"/>
      <w:r w:rsidRPr="00510AD0">
        <w:t xml:space="preserve">-10-042, </w:t>
      </w:r>
      <w:bookmarkStart w:id="817" w:name="DocXTextRef244"/>
      <w:bookmarkStart w:id="818" w:name="OLE_LINK2"/>
      <w:bookmarkStart w:id="819" w:name="OLE_LINK3"/>
      <w:r w:rsidRPr="00510AD0">
        <w:t>06</w:t>
      </w:r>
      <w:bookmarkEnd w:id="817"/>
      <w:r w:rsidRPr="00510AD0">
        <w:t xml:space="preserve">-04-040, </w:t>
      </w:r>
      <w:bookmarkStart w:id="820" w:name="DocXTextRef245"/>
      <w:r w:rsidRPr="00510AD0">
        <w:t>06</w:t>
      </w:r>
      <w:bookmarkEnd w:id="820"/>
      <w:r w:rsidRPr="00510AD0">
        <w:t xml:space="preserve">-06-064, </w:t>
      </w:r>
      <w:bookmarkStart w:id="821" w:name="DocXTextRef246"/>
      <w:r w:rsidRPr="00510AD0">
        <w:t>06</w:t>
      </w:r>
      <w:bookmarkEnd w:id="821"/>
      <w:r w:rsidRPr="00510AD0">
        <w:t>-07-031</w:t>
      </w:r>
      <w:bookmarkEnd w:id="818"/>
      <w:bookmarkEnd w:id="819"/>
      <w:r w:rsidRPr="00510AD0">
        <w:t xml:space="preserve">, </w:t>
      </w:r>
      <w:bookmarkStart w:id="822" w:name="DocXTextRef247"/>
      <w:r w:rsidRPr="00510AD0">
        <w:t>07</w:t>
      </w:r>
      <w:bookmarkEnd w:id="822"/>
      <w:r w:rsidRPr="00510AD0">
        <w:t xml:space="preserve">-06-029, </w:t>
      </w:r>
      <w:bookmarkStart w:id="823" w:name="DocXTextRef248"/>
      <w:r w:rsidRPr="00510AD0">
        <w:t>08</w:t>
      </w:r>
      <w:bookmarkEnd w:id="823"/>
      <w:r w:rsidRPr="00510AD0">
        <w:t xml:space="preserve">-06-031, </w:t>
      </w:r>
      <w:bookmarkStart w:id="824" w:name="DocXTextRef249"/>
      <w:r w:rsidRPr="00510AD0">
        <w:t>09</w:t>
      </w:r>
      <w:bookmarkEnd w:id="824"/>
      <w:r w:rsidRPr="00510AD0">
        <w:t xml:space="preserve">-06-028, </w:t>
      </w:r>
      <w:bookmarkStart w:id="825" w:name="DocXTextRef250"/>
      <w:r w:rsidRPr="00510AD0">
        <w:t>10</w:t>
      </w:r>
      <w:bookmarkEnd w:id="825"/>
      <w:r w:rsidRPr="00510AD0">
        <w:t xml:space="preserve">-06-036, </w:t>
      </w:r>
      <w:bookmarkStart w:id="826" w:name="DocXTextRef251"/>
      <w:r w:rsidRPr="00510AD0">
        <w:t>11</w:t>
      </w:r>
      <w:bookmarkEnd w:id="826"/>
      <w:r w:rsidRPr="00510AD0">
        <w:t xml:space="preserve">-06-022, </w:t>
      </w:r>
      <w:bookmarkStart w:id="827" w:name="DocXTextRef252"/>
      <w:r w:rsidRPr="00510AD0">
        <w:t>12</w:t>
      </w:r>
      <w:bookmarkEnd w:id="827"/>
      <w:r w:rsidRPr="00510AD0">
        <w:t xml:space="preserve">-06-025, </w:t>
      </w:r>
      <w:bookmarkStart w:id="828" w:name="DocXTextRef253"/>
      <w:r w:rsidRPr="00510AD0">
        <w:t>13</w:t>
      </w:r>
      <w:bookmarkEnd w:id="828"/>
      <w:r w:rsidRPr="00510AD0">
        <w:t xml:space="preserve">-06-024, </w:t>
      </w:r>
      <w:bookmarkStart w:id="829" w:name="DocXTextRef254"/>
      <w:r w:rsidRPr="00510AD0">
        <w:t>14</w:t>
      </w:r>
      <w:bookmarkEnd w:id="829"/>
      <w:r w:rsidRPr="00510AD0">
        <w:t>-06-050,</w:t>
      </w:r>
      <w:r w:rsidR="002B723B" w:rsidRPr="00510AD0">
        <w:t xml:space="preserve"> 19-02-022,</w:t>
      </w:r>
      <w:r w:rsidRPr="00510AD0">
        <w:t xml:space="preserve"> </w:t>
      </w:r>
      <w:bookmarkStart w:id="830" w:name="DocXTextRef255"/>
      <w:r w:rsidRPr="00510AD0">
        <w:t>20</w:t>
      </w:r>
      <w:bookmarkEnd w:id="830"/>
      <w:r w:rsidRPr="00510AD0">
        <w:t>-06-002,</w:t>
      </w:r>
      <w:r w:rsidR="002B723B" w:rsidRPr="00510AD0">
        <w:t xml:space="preserve"> 20-06-031,</w:t>
      </w:r>
      <w:r w:rsidRPr="00510AD0">
        <w:t xml:space="preserve"> </w:t>
      </w:r>
      <w:bookmarkStart w:id="831" w:name="DocXTextRef256"/>
      <w:r w:rsidRPr="00510AD0">
        <w:t>20</w:t>
      </w:r>
      <w:bookmarkEnd w:id="831"/>
      <w:r w:rsidRPr="00510AD0">
        <w:t>-12-006</w:t>
      </w:r>
      <w:r w:rsidR="00D424A4" w:rsidRPr="00510AD0">
        <w:t>, 21-06-029, 22-03-034</w:t>
      </w:r>
      <w:r w:rsidRPr="00510AD0">
        <w:t xml:space="preserve"> and any other existing or subsequent decisions, resolutions or rulings related to resource adequacy, as may be amended from time to time by the CPUC.</w:t>
      </w:r>
      <w:bookmarkStart w:id="832" w:name="_Ref69141889"/>
      <w:r w:rsidRPr="00510AD0">
        <w:rPr>
          <w:szCs w:val="24"/>
          <w:u w:val="single"/>
          <w:vertAlign w:val="superscript"/>
        </w:rPr>
        <w:footnoteReference w:id="40"/>
      </w:r>
      <w:bookmarkEnd w:id="832"/>
    </w:p>
    <w:p w14:paraId="01C3316C" w14:textId="5C824AC5" w:rsidR="0055205C" w:rsidRPr="00510AD0" w:rsidRDefault="0055205C" w:rsidP="00E57684">
      <w:pPr>
        <w:pStyle w:val="BodyTextLeft"/>
      </w:pPr>
      <w:r w:rsidRPr="00510AD0">
        <w:t xml:space="preserve">“CPUC General Order </w:t>
      </w:r>
      <w:r w:rsidR="00F80831" w:rsidRPr="00510AD0">
        <w:t>No. 1</w:t>
      </w:r>
      <w:r w:rsidRPr="00510AD0">
        <w:t xml:space="preserve">67” </w:t>
      </w:r>
      <w:r w:rsidR="004A53AF" w:rsidRPr="00510AD0">
        <w:t xml:space="preserve">means CPUC General Order </w:t>
      </w:r>
      <w:r w:rsidR="00F80831" w:rsidRPr="00510AD0">
        <w:t xml:space="preserve">Number </w:t>
      </w:r>
      <w:r w:rsidR="004A53AF" w:rsidRPr="00510AD0">
        <w:t xml:space="preserve">167 </w:t>
      </w:r>
      <w:r w:rsidRPr="00510AD0">
        <w:t>issued by the CPUC</w:t>
      </w:r>
      <w:r w:rsidR="004A53AF" w:rsidRPr="00510AD0">
        <w:t xml:space="preserve"> that</w:t>
      </w:r>
      <w:r w:rsidRPr="00510AD0">
        <w:t xml:space="preserve"> directs the implementation and enforcement of standards for the maintenance and operation of electric generating facilities and power plants and can be found at the link below: </w:t>
      </w:r>
    </w:p>
    <w:p w14:paraId="2A5BCFB3" w14:textId="77777777" w:rsidR="0055205C" w:rsidRPr="00510AD0" w:rsidRDefault="00A1254C" w:rsidP="00E57684">
      <w:pPr>
        <w:pStyle w:val="BodyTextLeft"/>
      </w:pPr>
      <w:hyperlink r:id="rId18" w:history="1">
        <w:r w:rsidR="00B212B9" w:rsidRPr="00510AD0">
          <w:rPr>
            <w:rStyle w:val="Hyperlink"/>
          </w:rPr>
          <w:t>http://docs.cpuc.ca.gov/PUBLISHED/GENERAL_ORDER/108114.htm</w:t>
        </w:r>
      </w:hyperlink>
    </w:p>
    <w:p w14:paraId="4B8F400F" w14:textId="0B2C3F21" w:rsidR="0055205C" w:rsidRPr="00510AD0" w:rsidRDefault="0055205C" w:rsidP="00E907E0">
      <w:pPr>
        <w:spacing w:after="240"/>
      </w:pPr>
      <w:r w:rsidRPr="00510AD0">
        <w:t>“Credit Rating”</w:t>
      </w:r>
      <w:r w:rsidR="00FE3633" w:rsidRPr="00510AD0">
        <w:rPr>
          <w:rStyle w:val="FootnoteReference"/>
        </w:rPr>
        <w:footnoteReference w:id="41"/>
      </w:r>
      <w:r w:rsidRPr="00510AD0">
        <w:t xml:space="preserve"> means, with respect to any entity, </w:t>
      </w:r>
      <w:bookmarkStart w:id="833" w:name="DocXTextRef257"/>
      <w:r w:rsidRPr="00510AD0">
        <w:t>(a)</w:t>
      </w:r>
      <w:bookmarkEnd w:id="833"/>
      <w:r w:rsidRPr="00510AD0">
        <w:t xml:space="preserve"> the rating then assigned to such entity’s unsecured senior long-term debt obligations (not supported by third party credit enhancements), or </w:t>
      </w:r>
      <w:bookmarkStart w:id="834" w:name="DocXTextRef258"/>
      <w:r w:rsidRPr="00510AD0">
        <w:t>(b)</w:t>
      </w:r>
      <w:bookmarkEnd w:id="834"/>
      <w:r w:rsidRPr="00510AD0">
        <w:t xml:space="preserve">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51994CB3" w14:textId="1EF14FB0" w:rsidR="0055205C" w:rsidRPr="00510AD0" w:rsidRDefault="0055205C" w:rsidP="00E57684">
      <w:pPr>
        <w:pStyle w:val="BodyTextLeft"/>
      </w:pPr>
      <w:r w:rsidRPr="00510AD0">
        <w:lastRenderedPageBreak/>
        <w:t xml:space="preserve">“Cure” has the meaning set forth in Section </w:t>
      </w:r>
      <w:r w:rsidR="00286173" w:rsidRPr="00510AD0">
        <w:fldChar w:fldCharType="begin"/>
      </w:r>
      <w:r w:rsidR="00286173" w:rsidRPr="00510AD0">
        <w:instrText xml:space="preserve">  REF _Ref69141675 \w \h \* MERGEFORMAT </w:instrText>
      </w:r>
      <w:r w:rsidR="00286173" w:rsidRPr="00510AD0">
        <w:fldChar w:fldCharType="separate"/>
      </w:r>
      <w:r w:rsidR="007751F5" w:rsidRPr="00510AD0">
        <w:rPr>
          <w:color w:val="000000"/>
        </w:rPr>
        <w:t>10.5(b)</w:t>
      </w:r>
      <w:r w:rsidR="00286173" w:rsidRPr="00510AD0">
        <w:fldChar w:fldCharType="end"/>
      </w:r>
      <w:r w:rsidRPr="00510AD0">
        <w:t>.</w:t>
      </w:r>
    </w:p>
    <w:p w14:paraId="01205349" w14:textId="2D852D28" w:rsidR="0055205C" w:rsidRPr="00510AD0" w:rsidRDefault="0055205C" w:rsidP="00E57684">
      <w:pPr>
        <w:pStyle w:val="BodyTextLeft"/>
      </w:pPr>
      <w:r w:rsidRPr="00510AD0">
        <w:t xml:space="preserve">“Damage Payment Amount” means the dollar amount equal to </w:t>
      </w:r>
      <w:bookmarkStart w:id="835" w:name="DocXTextRef262"/>
      <w:r w:rsidRPr="00510AD0">
        <w:t>(a)</w:t>
      </w:r>
      <w:bookmarkEnd w:id="835"/>
      <w:r w:rsidRPr="00510AD0">
        <w:t xml:space="preserve"> the amount required to be posted as Project Development Security pursuant to Section</w:t>
      </w:r>
      <w:r w:rsidR="002B723B" w:rsidRPr="00510AD0">
        <w:t xml:space="preserve"> 10.4(b)(i)</w:t>
      </w:r>
      <w:r w:rsidRPr="00510AD0">
        <w:t xml:space="preserve">, less </w:t>
      </w:r>
      <w:bookmarkStart w:id="836" w:name="DocXTextRef263"/>
      <w:r w:rsidRPr="00510AD0">
        <w:t>(b)</w:t>
      </w:r>
      <w:bookmarkEnd w:id="836"/>
      <w:r w:rsidRPr="00510AD0">
        <w:t xml:space="preserve"> amounts collected by Buyer as Delay Damages pursuant to Section </w:t>
      </w:r>
      <w:r w:rsidR="00286173" w:rsidRPr="00510AD0">
        <w:fldChar w:fldCharType="begin"/>
      </w:r>
      <w:r w:rsidR="00286173" w:rsidRPr="00510AD0">
        <w:instrText xml:space="preserve">  REF _Ref69141567 \w \h \* MERGEFORMAT </w:instrText>
      </w:r>
      <w:r w:rsidR="00286173" w:rsidRPr="00510AD0">
        <w:fldChar w:fldCharType="separate"/>
      </w:r>
      <w:r w:rsidR="007751F5" w:rsidRPr="00510AD0">
        <w:rPr>
          <w:color w:val="000000"/>
        </w:rPr>
        <w:t>2.4(a)</w:t>
      </w:r>
      <w:r w:rsidR="00286173" w:rsidRPr="00510AD0">
        <w:fldChar w:fldCharType="end"/>
      </w:r>
      <w:r w:rsidRPr="00510AD0">
        <w:t>.</w:t>
      </w:r>
    </w:p>
    <w:p w14:paraId="5027CC58" w14:textId="77777777" w:rsidR="0055205C" w:rsidRPr="00510AD0" w:rsidRDefault="0055205C" w:rsidP="00E57684">
      <w:pPr>
        <w:pStyle w:val="BodyTextLeft"/>
      </w:pPr>
      <w:r w:rsidRPr="00510AD0">
        <w:t>[For Front of the Meter Project: “Day-Ahead Price” or “DAP” means the price reported by CAISO at the PNode specific to the Project for each Settlement Period in a day in the Day-Ahead Market.]</w:t>
      </w:r>
    </w:p>
    <w:p w14:paraId="21D727FC" w14:textId="1DE7F88E" w:rsidR="0055205C" w:rsidRPr="00510AD0" w:rsidRDefault="0055205C" w:rsidP="00E57684">
      <w:pPr>
        <w:pStyle w:val="BodyTextLeft"/>
      </w:pPr>
      <w:r w:rsidRPr="00510AD0">
        <w:t xml:space="preserve">[For Behind the Meter Project: “Day-Ahead Energy Price” or “DAP” means the price reported by CAISO at the Sub LAP(s) specific to the Project for each Settlement Period in a day in the Day-Ahead Market. To the extent there is more than one Sub-LAP associated with the Project, the DAP shall be the weighted average of the applicable Sub-LAP Day-Ahead Energy Prices based on installed Unit capacity in each Sub-LAP. The Sub-LAP(s) specific to the Project and the installed Unit capacity in each Sub-LAP shall be determined based on the Seller’s Initial Portfolio List submitted to Buyer in accordance with Section </w:t>
      </w:r>
      <w:r w:rsidR="00286173" w:rsidRPr="00510AD0">
        <w:fldChar w:fldCharType="begin"/>
      </w:r>
      <w:r w:rsidR="00286173" w:rsidRPr="00510AD0">
        <w:instrText xml:space="preserve">  REF _Ref69141558 \w \h \* MERGEFORMAT </w:instrText>
      </w:r>
      <w:r w:rsidR="00286173" w:rsidRPr="00510AD0">
        <w:fldChar w:fldCharType="separate"/>
      </w:r>
      <w:r w:rsidR="007751F5" w:rsidRPr="00510AD0">
        <w:rPr>
          <w:color w:val="000000"/>
        </w:rPr>
        <w:t>2.1(h)</w:t>
      </w:r>
      <w:r w:rsidR="00286173" w:rsidRPr="00510AD0">
        <w:fldChar w:fldCharType="end"/>
      </w:r>
      <w:r w:rsidRPr="00510AD0">
        <w:t xml:space="preserve"> and shall not change during the Delivery Term, unless changed by the CAISO, irrespective of subsequent changes to Seller’s Portfolio.]</w:t>
      </w:r>
    </w:p>
    <w:p w14:paraId="5625AF95" w14:textId="77777777" w:rsidR="0055205C" w:rsidRPr="00510AD0" w:rsidRDefault="0055205C" w:rsidP="00E57684">
      <w:pPr>
        <w:pStyle w:val="BodyTextLeft"/>
      </w:pPr>
      <w:r w:rsidRPr="00510AD0">
        <w:t>“Day-Ahead Market” has the meaning set forth in the CAISO Tariff.</w:t>
      </w:r>
    </w:p>
    <w:p w14:paraId="7ECDDA71" w14:textId="77777777" w:rsidR="0055205C" w:rsidRPr="00510AD0" w:rsidRDefault="0055205C" w:rsidP="00E57684">
      <w:pPr>
        <w:pStyle w:val="BodyTextLeft"/>
      </w:pPr>
      <w:r w:rsidRPr="00510AD0">
        <w:t>“Defaulting Party” means the Party that is subject to an Event of Default.</w:t>
      </w:r>
    </w:p>
    <w:p w14:paraId="3A420FCC" w14:textId="635EA4C7" w:rsidR="0055205C" w:rsidRPr="00510AD0" w:rsidRDefault="0055205C" w:rsidP="00E57684">
      <w:pPr>
        <w:pStyle w:val="BodyTextLeft"/>
      </w:pPr>
      <w:r w:rsidRPr="00510AD0">
        <w:t xml:space="preserve">“Delay Damages” has the meaning set forth in Section </w:t>
      </w:r>
      <w:r w:rsidR="00286173" w:rsidRPr="00510AD0">
        <w:fldChar w:fldCharType="begin"/>
      </w:r>
      <w:r w:rsidR="00286173" w:rsidRPr="00510AD0">
        <w:instrText xml:space="preserve">  REF _Ref69141567 \w \h \* MERGEFORMAT </w:instrText>
      </w:r>
      <w:r w:rsidR="00286173" w:rsidRPr="00510AD0">
        <w:fldChar w:fldCharType="separate"/>
      </w:r>
      <w:r w:rsidR="007751F5" w:rsidRPr="00510AD0">
        <w:rPr>
          <w:color w:val="000000"/>
        </w:rPr>
        <w:t>2.4(a)</w:t>
      </w:r>
      <w:r w:rsidR="00286173" w:rsidRPr="00510AD0">
        <w:fldChar w:fldCharType="end"/>
      </w:r>
      <w:r w:rsidRPr="00510AD0">
        <w:t>.</w:t>
      </w:r>
    </w:p>
    <w:p w14:paraId="1364CA92" w14:textId="10A81C94" w:rsidR="0055205C" w:rsidRPr="00510AD0" w:rsidRDefault="0055205C" w:rsidP="00E57684">
      <w:pPr>
        <w:pStyle w:val="BodyTextLeft"/>
      </w:pPr>
      <w:r w:rsidRPr="00510AD0">
        <w:t xml:space="preserve">“Delivered Quantities” has the meaning set forth in Section </w:t>
      </w:r>
      <w:r w:rsidR="00286173" w:rsidRPr="00510AD0">
        <w:fldChar w:fldCharType="begin"/>
      </w:r>
      <w:r w:rsidR="00286173" w:rsidRPr="00510AD0">
        <w:instrText xml:space="preserve">  REF _Ref69141584 \w \h \* MERGEFORMAT </w:instrText>
      </w:r>
      <w:r w:rsidR="00286173" w:rsidRPr="00510AD0">
        <w:fldChar w:fldCharType="separate"/>
      </w:r>
      <w:r w:rsidR="007751F5" w:rsidRPr="00510AD0">
        <w:rPr>
          <w:color w:val="000000"/>
        </w:rPr>
        <w:t>3.6(a)</w:t>
      </w:r>
      <w:r w:rsidR="00286173" w:rsidRPr="00510AD0">
        <w:fldChar w:fldCharType="end"/>
      </w:r>
      <w:r w:rsidRPr="00510AD0">
        <w:t>.</w:t>
      </w:r>
    </w:p>
    <w:p w14:paraId="1CBC0521" w14:textId="37C3A15A" w:rsidR="0055205C" w:rsidRPr="00510AD0" w:rsidRDefault="0055205C" w:rsidP="00E57684">
      <w:pPr>
        <w:pStyle w:val="BodyTextLeft"/>
      </w:pPr>
      <w:r w:rsidRPr="00510AD0">
        <w:t xml:space="preserve">“Delivery Term” has the meaning set forth in Section </w:t>
      </w:r>
      <w:r w:rsidR="00286173" w:rsidRPr="00510AD0">
        <w:fldChar w:fldCharType="begin"/>
      </w:r>
      <w:r w:rsidR="00286173" w:rsidRPr="00510AD0">
        <w:instrText xml:space="preserve">  REF _Ref69141538 \w \h \* MERGEFORMAT </w:instrText>
      </w:r>
      <w:r w:rsidR="00286173" w:rsidRPr="00510AD0">
        <w:fldChar w:fldCharType="separate"/>
      </w:r>
      <w:r w:rsidR="007751F5" w:rsidRPr="00510AD0">
        <w:rPr>
          <w:color w:val="000000"/>
        </w:rPr>
        <w:t>1.1(b)</w:t>
      </w:r>
      <w:r w:rsidR="00286173" w:rsidRPr="00510AD0">
        <w:fldChar w:fldCharType="end"/>
      </w:r>
      <w:r w:rsidRPr="00510AD0">
        <w:t xml:space="preserve">. </w:t>
      </w:r>
    </w:p>
    <w:p w14:paraId="741D7E67" w14:textId="4A24A737" w:rsidR="0055205C" w:rsidRPr="00510AD0" w:rsidRDefault="0055205C" w:rsidP="00E57684">
      <w:pPr>
        <w:pStyle w:val="BodyTextLeft"/>
      </w:pPr>
      <w:r w:rsidRPr="00510AD0">
        <w:t xml:space="preserve">“Delivery Term Security” means </w:t>
      </w:r>
      <w:r w:rsidR="00984392" w:rsidRPr="00510AD0">
        <w:t>that dollar amount specified in Section 10.4(b)</w:t>
      </w:r>
      <w:r w:rsidRPr="00510AD0">
        <w:t>.</w:t>
      </w:r>
    </w:p>
    <w:p w14:paraId="2A873732" w14:textId="77777777" w:rsidR="0055205C" w:rsidRPr="00510AD0" w:rsidRDefault="0055205C" w:rsidP="00E57684">
      <w:pPr>
        <w:pStyle w:val="BodyTextLeft"/>
      </w:pPr>
      <w:r w:rsidRPr="00510AD0">
        <w:t>“Direct Claim” means any claim by an Indemnitee on account of an Indemnifiable Loss which does not result from a Third Party Claim.</w:t>
      </w:r>
    </w:p>
    <w:p w14:paraId="205D43B8" w14:textId="326B7AC1" w:rsidR="0055205C" w:rsidRPr="00510AD0" w:rsidRDefault="0055205C" w:rsidP="00E57684">
      <w:pPr>
        <w:pStyle w:val="BodyTextLeft"/>
      </w:pPr>
      <w:r w:rsidRPr="00510AD0">
        <w:t xml:space="preserve">“Disclosing Party” has the meaning set forth in Section </w:t>
      </w:r>
      <w:r w:rsidR="00286173" w:rsidRPr="00510AD0">
        <w:fldChar w:fldCharType="begin"/>
      </w:r>
      <w:r w:rsidR="00286173" w:rsidRPr="00510AD0">
        <w:instrText xml:space="preserve">  REF _Ref69141809 \w \h \* MERGEFORMAT </w:instrText>
      </w:r>
      <w:r w:rsidR="00286173" w:rsidRPr="00510AD0">
        <w:fldChar w:fldCharType="separate"/>
      </w:r>
      <w:r w:rsidR="007751F5" w:rsidRPr="00510AD0">
        <w:rPr>
          <w:color w:val="000000"/>
        </w:rPr>
        <w:t>19.2</w:t>
      </w:r>
      <w:r w:rsidR="00286173" w:rsidRPr="00510AD0">
        <w:fldChar w:fldCharType="end"/>
      </w:r>
      <w:r w:rsidRPr="00510AD0">
        <w:t>.</w:t>
      </w:r>
    </w:p>
    <w:p w14:paraId="380513F7" w14:textId="2B5224A2" w:rsidR="0055205C" w:rsidRPr="00510AD0" w:rsidRDefault="0055205C" w:rsidP="00E57684">
      <w:pPr>
        <w:pStyle w:val="BodyTextLeft"/>
      </w:pPr>
      <w:r w:rsidRPr="00510AD0">
        <w:t>“Dispatch Instruction” has the meaning set forth in the CAISO Tariff.</w:t>
      </w:r>
    </w:p>
    <w:p w14:paraId="35DBB942" w14:textId="1DD22E33" w:rsidR="0055205C" w:rsidRPr="00510AD0" w:rsidRDefault="0055205C" w:rsidP="00E57684">
      <w:pPr>
        <w:pStyle w:val="BodyTextLeft"/>
      </w:pPr>
      <w:r w:rsidRPr="00510AD0">
        <w:t xml:space="preserve">“Early Termination Date” has the meaning set forth in Section </w:t>
      </w:r>
      <w:r w:rsidR="00286173" w:rsidRPr="00510AD0">
        <w:fldChar w:fldCharType="begin"/>
      </w:r>
      <w:r w:rsidR="00286173" w:rsidRPr="00510AD0">
        <w:instrText xml:space="preserve">  REF _Ref69141633 \w \h \* MERGEFORMAT </w:instrText>
      </w:r>
      <w:r w:rsidR="00286173" w:rsidRPr="00510AD0">
        <w:fldChar w:fldCharType="separate"/>
      </w:r>
      <w:r w:rsidR="007751F5" w:rsidRPr="00510AD0">
        <w:rPr>
          <w:color w:val="000000"/>
        </w:rPr>
        <w:t>7.2(a)</w:t>
      </w:r>
      <w:r w:rsidR="00286173" w:rsidRPr="00510AD0">
        <w:fldChar w:fldCharType="end"/>
      </w:r>
      <w:r w:rsidRPr="00510AD0">
        <w:t>.</w:t>
      </w:r>
    </w:p>
    <w:p w14:paraId="56E73804" w14:textId="2EDBCFC8" w:rsidR="0055205C" w:rsidRPr="00510AD0" w:rsidRDefault="0055205C" w:rsidP="00E57684">
      <w:pPr>
        <w:pStyle w:val="BodyTextLeft"/>
      </w:pPr>
      <w:r w:rsidRPr="00510AD0">
        <w:t>“Eligible LC Bank”</w:t>
      </w:r>
      <w:r w:rsidR="009D0A06" w:rsidRPr="00510AD0">
        <w:rPr>
          <w:rStyle w:val="FootnoteReference"/>
        </w:rPr>
        <w:footnoteReference w:id="42"/>
      </w:r>
      <w:r w:rsidRPr="00510AD0">
        <w:t xml:space="preserve"> means either a U.S. commercial bank, or a foreign bank issuing a Letter of Credit through its U.S. branch; and in each case the issuing U.S. commercial bank or foreign bank must be acceptable to Buyer in its sole discretion and such bank must have a Credit Rating of at least:  </w:t>
      </w:r>
      <w:bookmarkStart w:id="837" w:name="DocXTextRef272"/>
      <w:r w:rsidRPr="00510AD0">
        <w:t>(a)</w:t>
      </w:r>
      <w:bookmarkEnd w:id="837"/>
      <w:r w:rsidRPr="00510AD0">
        <w:t xml:space="preserve"> “A-, with a stable designation” from S&amp;P and “A3, with a stable designation” from Moody’s, if such bank is rated by both S&amp;P and Moody’s; or </w:t>
      </w:r>
      <w:bookmarkStart w:id="838" w:name="DocXTextRef273"/>
      <w:r w:rsidRPr="00510AD0">
        <w:t>(b)</w:t>
      </w:r>
      <w:bookmarkEnd w:id="838"/>
      <w:r w:rsidRPr="00510AD0">
        <w:t xml:space="preserve"> “A-, with a stable </w:t>
      </w:r>
      <w:r w:rsidRPr="00510AD0">
        <w:lastRenderedPageBreak/>
        <w:t>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7F5CD3D5" w14:textId="77777777" w:rsidR="0055205C" w:rsidRPr="00510AD0" w:rsidRDefault="0055205C" w:rsidP="00E57684">
      <w:pPr>
        <w:pStyle w:val="BodyTextLeft"/>
      </w:pPr>
      <w:r w:rsidRPr="00510AD0" w:rsidDel="00F447D9">
        <w:t xml:space="preserve"> </w:t>
      </w:r>
      <w:r w:rsidRPr="00510AD0">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27377F2D" w14:textId="77777777" w:rsidR="0055205C" w:rsidRPr="00510AD0" w:rsidRDefault="0055205C" w:rsidP="00E907E0">
      <w:pPr>
        <w:spacing w:after="240"/>
      </w:pPr>
      <w:r w:rsidRPr="00510AD0">
        <w:t xml:space="preserve">“Emission Reduction Credits” means emission reductions that have been authorized by a local air pollution control district pursuant to California Health and Safety Code, Division </w:t>
      </w:r>
      <w:bookmarkStart w:id="839" w:name="DocXTextRef274"/>
      <w:r w:rsidRPr="00510AD0">
        <w:t>26</w:t>
      </w:r>
      <w:bookmarkEnd w:id="839"/>
      <w:r w:rsidRPr="00510AD0">
        <w:t xml:space="preserve"> Air Resources, Sections 40709 and </w:t>
      </w:r>
      <w:bookmarkStart w:id="840" w:name="DocXTextRef275"/>
      <w:r w:rsidRPr="00510AD0">
        <w:t>40709.5</w:t>
      </w:r>
      <w:bookmarkEnd w:id="840"/>
      <w:r w:rsidRPr="00510AD0">
        <w:t>,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1716B14D" w14:textId="77777777" w:rsidR="0055205C" w:rsidRPr="00510AD0" w:rsidRDefault="0055205C" w:rsidP="00E57684">
      <w:pPr>
        <w:pStyle w:val="BodyTextLeft"/>
      </w:pPr>
      <w:r w:rsidRPr="00510AD0">
        <w:t xml:space="preserve">“Energy” means three-phase, </w:t>
      </w:r>
      <w:bookmarkStart w:id="841" w:name="DocXTextRef276"/>
      <w:r w:rsidRPr="00510AD0">
        <w:t>60</w:t>
      </w:r>
      <w:bookmarkEnd w:id="841"/>
      <w:r w:rsidRPr="00510AD0">
        <w:t>-cycle alternating current electric energy, measured in MWhs.</w:t>
      </w:r>
    </w:p>
    <w:p w14:paraId="7B615BFE" w14:textId="77777777" w:rsidR="0055205C" w:rsidRPr="00510AD0" w:rsidRDefault="0055205C" w:rsidP="00E57684">
      <w:pPr>
        <w:pStyle w:val="BodyTextLeft"/>
      </w:pPr>
      <w:r w:rsidRPr="00510AD0">
        <w:t>“Environmental Costs” means costs incurred in connection with acquiring and maintaining all environmental permits and licenses for the Product, and the Product’s and Project’s compliance with all applicable environmental Laws,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Laws,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3244642E" w14:textId="0CB6768C" w:rsidR="0055205C" w:rsidRPr="00510AD0" w:rsidRDefault="0055205C" w:rsidP="00E57684">
      <w:pPr>
        <w:pStyle w:val="BodyTextLeft"/>
      </w:pPr>
      <w:r w:rsidRPr="00510AD0">
        <w:t>“EPC Contract” means the</w:t>
      </w:r>
      <w:r w:rsidR="00F80831" w:rsidRPr="00510AD0">
        <w:t xml:space="preserve"> </w:t>
      </w:r>
      <w:r w:rsidRPr="00510AD0">
        <w:t>Project Company’s engineering, procurement and construction contract with the EPC Contractor.</w:t>
      </w:r>
    </w:p>
    <w:p w14:paraId="04C400CC" w14:textId="4EEE8478" w:rsidR="0055205C" w:rsidRPr="00510AD0" w:rsidRDefault="0055205C" w:rsidP="00E57684">
      <w:pPr>
        <w:pStyle w:val="BodyTextLeft"/>
      </w:pPr>
      <w:r w:rsidRPr="00510AD0">
        <w:t>“EPC Contractor” means</w:t>
      </w:r>
      <w:r w:rsidR="00F80831" w:rsidRPr="00510AD0">
        <w:t xml:space="preserve"> </w:t>
      </w:r>
      <w:r w:rsidRPr="00510AD0">
        <w:t>Project Company’s engineering, procurement and construction contractor or such Person performing those functions.</w:t>
      </w:r>
    </w:p>
    <w:p w14:paraId="6E5F3B8B" w14:textId="77777777" w:rsidR="0055205C" w:rsidRPr="00510AD0" w:rsidRDefault="0055205C" w:rsidP="00E57684">
      <w:pPr>
        <w:pStyle w:val="BodyTextLeft"/>
      </w:pPr>
      <w:r w:rsidRPr="00510AD0">
        <w:t>“Equitable Defenses” means any bankruptcy, insolvency, reorganization and other Laws affecting creditors’ rights generally, and with regard to equitable remedies, the discretion of the court before which proceedings to obtain same may be pending.</w:t>
      </w:r>
    </w:p>
    <w:p w14:paraId="567C2E7E" w14:textId="77777777" w:rsidR="0055205C" w:rsidRPr="00510AD0" w:rsidRDefault="0055205C" w:rsidP="00E57684">
      <w:pPr>
        <w:pStyle w:val="BodyTextLeft"/>
      </w:pPr>
      <w:r w:rsidRPr="00510AD0">
        <w:t xml:space="preserve">“Event of Default” means a Seller’s Event of Default and/or a Party’s Event of Default. </w:t>
      </w:r>
    </w:p>
    <w:p w14:paraId="7510804C" w14:textId="77777777" w:rsidR="0055205C" w:rsidRPr="00510AD0" w:rsidRDefault="0055205C" w:rsidP="00E57684">
      <w:pPr>
        <w:pStyle w:val="BodyTextLeft"/>
      </w:pPr>
      <w:r w:rsidRPr="00510AD0">
        <w:t>“Execution Date” means the latest signature date found on the signature page of this Agreement.</w:t>
      </w:r>
    </w:p>
    <w:p w14:paraId="1516CC5D" w14:textId="61E6E6B8" w:rsidR="0055205C" w:rsidRPr="00510AD0" w:rsidRDefault="0055205C" w:rsidP="00E57684">
      <w:pPr>
        <w:pStyle w:val="BodyTextLeft"/>
      </w:pPr>
      <w:r w:rsidRPr="00510AD0">
        <w:t xml:space="preserve">“Executive” has the meaning set forth in Section </w:t>
      </w:r>
      <w:r w:rsidR="00286173" w:rsidRPr="00510AD0">
        <w:fldChar w:fldCharType="begin"/>
      </w:r>
      <w:r w:rsidR="00286173" w:rsidRPr="00510AD0">
        <w:instrText xml:space="preserve">  REF _Ref69141796 \w \h \* MERGEFORMAT </w:instrText>
      </w:r>
      <w:r w:rsidR="00286173" w:rsidRPr="00510AD0">
        <w:fldChar w:fldCharType="separate"/>
      </w:r>
      <w:r w:rsidR="007751F5" w:rsidRPr="00510AD0">
        <w:rPr>
          <w:color w:val="000000"/>
        </w:rPr>
        <w:t>18.2(a)</w:t>
      </w:r>
      <w:r w:rsidR="00286173" w:rsidRPr="00510AD0">
        <w:fldChar w:fldCharType="end"/>
      </w:r>
      <w:r w:rsidRPr="00510AD0">
        <w:t>.</w:t>
      </w:r>
    </w:p>
    <w:p w14:paraId="26AABCDD" w14:textId="77777777" w:rsidR="0055205C" w:rsidRPr="00510AD0" w:rsidRDefault="0055205C" w:rsidP="00E57684">
      <w:pPr>
        <w:pStyle w:val="BodyTextLeft"/>
      </w:pPr>
      <w:r w:rsidRPr="00510AD0">
        <w:lastRenderedPageBreak/>
        <w:t>“Exigent Circumstance” means actual or imminent harm to life or safety, public health, third-party owned property, including a Site, or the environment due to or arising from the Project or portion thereof.</w:t>
      </w:r>
    </w:p>
    <w:p w14:paraId="7F1C4326" w14:textId="5E9BF267" w:rsidR="0055205C" w:rsidRPr="00510AD0" w:rsidRDefault="0055205C" w:rsidP="00E57684">
      <w:pPr>
        <w:pStyle w:val="BodyTextLeft"/>
      </w:pPr>
      <w:r w:rsidRPr="00510AD0">
        <w:t xml:space="preserve">“Expected Initial Delivery Date” has the meaning set forth in Section </w:t>
      </w:r>
      <w:r w:rsidR="00286173" w:rsidRPr="00510AD0">
        <w:fldChar w:fldCharType="begin"/>
      </w:r>
      <w:r w:rsidR="00286173" w:rsidRPr="00510AD0">
        <w:instrText xml:space="preserve">  REF _Ref69141539 \w \h \* MERGEFORMAT </w:instrText>
      </w:r>
      <w:r w:rsidR="00286173" w:rsidRPr="00510AD0">
        <w:fldChar w:fldCharType="separate"/>
      </w:r>
      <w:r w:rsidR="007751F5" w:rsidRPr="00510AD0">
        <w:rPr>
          <w:color w:val="000000"/>
        </w:rPr>
        <w:t>1.1(c)</w:t>
      </w:r>
      <w:r w:rsidR="00286173" w:rsidRPr="00510AD0">
        <w:fldChar w:fldCharType="end"/>
      </w:r>
      <w:r w:rsidRPr="00510AD0">
        <w:t>.</w:t>
      </w:r>
    </w:p>
    <w:p w14:paraId="7A48F2FA" w14:textId="17664009" w:rsidR="0055205C" w:rsidRDefault="0055205C" w:rsidP="00E57684">
      <w:pPr>
        <w:pStyle w:val="BodyTextLeft"/>
      </w:pPr>
      <w:r w:rsidRPr="00510AD0">
        <w:t xml:space="preserve">“FERC” means the Federal Energy Regulatory Commission or any successor entity performing similar functions. </w:t>
      </w:r>
    </w:p>
    <w:p w14:paraId="56CAF690" w14:textId="7F4FDD5F" w:rsidR="00A74584" w:rsidRPr="004A1B7F" w:rsidRDefault="00A74584" w:rsidP="00D36D71">
      <w:pPr>
        <w:pStyle w:val="BodyText"/>
        <w:ind w:firstLine="0"/>
      </w:pPr>
      <w:r>
        <w:t>“</w:t>
      </w:r>
      <w:r w:rsidRPr="00DF1887">
        <w:t>Flexible Capacity Category</w:t>
      </w:r>
      <w:r>
        <w:t>” has the meaning set forth in the CAISO Tariff.</w:t>
      </w:r>
    </w:p>
    <w:p w14:paraId="5B9E497E" w14:textId="2CE54BAD" w:rsidR="0055205C" w:rsidRPr="00510AD0" w:rsidRDefault="0055205C" w:rsidP="00E57684">
      <w:pPr>
        <w:pStyle w:val="BodyTextLeft"/>
      </w:pPr>
      <w:r w:rsidRPr="00510AD0">
        <w:t xml:space="preserve">“Flexible RA Attributes” means any and all flexible resource adequacy attributes, as may be identified at any time during the Delivery Term by the CPUC, CAISO or other Governmental Authority having jurisdiction that can be counted toward Flexible RAR, exclusive of any </w:t>
      </w:r>
      <w:r w:rsidR="00984392" w:rsidRPr="00510AD0">
        <w:t xml:space="preserve">System RA Attributes, Local </w:t>
      </w:r>
      <w:r w:rsidRPr="00510AD0">
        <w:t>RA Attributes, and Other Capacity Attributes.</w:t>
      </w:r>
    </w:p>
    <w:p w14:paraId="62765D88" w14:textId="77777777" w:rsidR="0055205C" w:rsidRPr="00510AD0" w:rsidRDefault="0055205C" w:rsidP="00E57684">
      <w:pPr>
        <w:pStyle w:val="BodyTextLeft"/>
      </w:pPr>
      <w:r w:rsidRPr="00510AD0">
        <w:t>“Flexible RAR” means the flexible resource adequacy requirements established for Load Serving Entities (as defined in the CAISO Tariff) by the CPUC pursuant to the CPUC Decisions, or by any other Governmental Authority having jurisdiction.</w:t>
      </w:r>
    </w:p>
    <w:p w14:paraId="71EF26C9" w14:textId="0D877A45" w:rsidR="0055205C" w:rsidRPr="00510AD0" w:rsidRDefault="0055205C" w:rsidP="00E57684">
      <w:pPr>
        <w:pStyle w:val="BodyTextLeft"/>
      </w:pPr>
      <w:r w:rsidRPr="00510AD0">
        <w:t xml:space="preserve">“Force Majeure” means </w:t>
      </w:r>
      <w:r w:rsidR="00F541B7">
        <w:t xml:space="preserve">an </w:t>
      </w:r>
      <w:r w:rsidR="00D26D7E">
        <w:t>unforeseeable</w:t>
      </w:r>
      <w:r w:rsidRPr="00510AD0">
        <w:t xml:space="preserve">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7EAFDAF0" w14:textId="77777777" w:rsidR="0055205C" w:rsidRPr="00510AD0" w:rsidRDefault="0055205C" w:rsidP="00E57684">
      <w:pPr>
        <w:pStyle w:val="HeadingBody2"/>
      </w:pPr>
      <w:bookmarkStart w:id="842" w:name="_Hlk38629796"/>
      <w:r w:rsidRPr="00510AD0">
        <w:t>(a)</w:t>
      </w:r>
      <w:r w:rsidRPr="00510AD0">
        <w:tab/>
        <w:t>Force Majeure may include:</w:t>
      </w:r>
    </w:p>
    <w:p w14:paraId="3B6F1503" w14:textId="583838B0" w:rsidR="0055205C" w:rsidRPr="00510AD0" w:rsidRDefault="0055205C" w:rsidP="00E57684">
      <w:pPr>
        <w:pStyle w:val="HeadingBody3"/>
      </w:pPr>
      <w:r w:rsidRPr="00510AD0">
        <w:t>(i)</w:t>
      </w:r>
      <w:r w:rsidRPr="00510AD0">
        <w:tab/>
        <w:t>acts of God, including epidemics, pandemics, landslide, lightning, earthquake, storm, hurricane, flood, drought, tornado, or other natural disasters and weather</w:t>
      </w:r>
      <w:r w:rsidR="00D238A2" w:rsidRPr="00510AD0">
        <w:t xml:space="preserve"> </w:t>
      </w:r>
      <w:r w:rsidRPr="00510AD0">
        <w:t xml:space="preserve">related events affecting an entire region which caused failure of performance; </w:t>
      </w:r>
    </w:p>
    <w:p w14:paraId="2F85D641" w14:textId="77777777" w:rsidR="0055205C" w:rsidRPr="00510AD0" w:rsidRDefault="0055205C" w:rsidP="00E57684">
      <w:pPr>
        <w:pStyle w:val="HeadingBody3"/>
      </w:pPr>
      <w:r w:rsidRPr="00510AD0">
        <w:t>(ii)</w:t>
      </w:r>
      <w:r w:rsidRPr="00510AD0">
        <w:tab/>
        <w:t xml:space="preserve">transportation accidents affecting delivery of equipment only if such accident occurs prior to the Commercial Operation Date; </w:t>
      </w:r>
    </w:p>
    <w:p w14:paraId="3C793E00" w14:textId="77777777" w:rsidR="0055205C" w:rsidRPr="00510AD0" w:rsidRDefault="0055205C" w:rsidP="00E57684">
      <w:pPr>
        <w:pStyle w:val="HeadingBody3"/>
      </w:pPr>
      <w:r w:rsidRPr="00510AD0">
        <w:t>(iii)</w:t>
      </w:r>
      <w:r w:rsidRPr="00510AD0">
        <w:tab/>
        <w:t xml:space="preserve">sabotage, riot, acts of terrorism, war and acts of public enemy; or </w:t>
      </w:r>
    </w:p>
    <w:p w14:paraId="124C5D4B" w14:textId="77777777" w:rsidR="0055205C" w:rsidRPr="00510AD0" w:rsidRDefault="0055205C" w:rsidP="00E57684">
      <w:pPr>
        <w:pStyle w:val="HeadingBody3"/>
      </w:pPr>
      <w:bookmarkStart w:id="843" w:name="_Hlk38629191"/>
      <w:r w:rsidRPr="00510AD0">
        <w:t>(iv)</w:t>
      </w:r>
      <w:r w:rsidRPr="00510AD0">
        <w:tab/>
      </w:r>
      <w:bookmarkStart w:id="844" w:name="_Hlk38629331"/>
      <w:r w:rsidRPr="00510AD0">
        <w:t>restraint by court order or other Governmental Authority</w:t>
      </w:r>
      <w:bookmarkEnd w:id="844"/>
      <w:r w:rsidRPr="00510AD0">
        <w:t>, including quarantine restrictions issued pursuant to applicable Law after the Execution Date.</w:t>
      </w:r>
    </w:p>
    <w:bookmarkEnd w:id="842"/>
    <w:bookmarkEnd w:id="843"/>
    <w:p w14:paraId="16A3D12D" w14:textId="77777777" w:rsidR="0055205C" w:rsidRPr="00510AD0" w:rsidRDefault="0055205C" w:rsidP="00E57684">
      <w:pPr>
        <w:pStyle w:val="HeadingBody2"/>
      </w:pPr>
      <w:r w:rsidRPr="00510AD0">
        <w:t>(b)</w:t>
      </w:r>
      <w:r w:rsidRPr="00510AD0">
        <w:tab/>
        <w:t>Force Majeure does not include:</w:t>
      </w:r>
    </w:p>
    <w:p w14:paraId="399B771D" w14:textId="4C3B3507" w:rsidR="00E432C2" w:rsidRDefault="00984392" w:rsidP="00E432C2">
      <w:pPr>
        <w:pStyle w:val="Heading4"/>
        <w:numPr>
          <w:ilvl w:val="3"/>
          <w:numId w:val="43"/>
        </w:numPr>
        <w:ind w:left="0" w:firstLine="1440"/>
      </w:pPr>
      <w:r w:rsidRPr="00510AD0">
        <w:t xml:space="preserve">a failure of performance of any </w:t>
      </w:r>
      <w:r w:rsidR="00E432C2">
        <w:t>third party (except to the extent that such failure was caused by an event that would otherwise satisfy the definition of a Force M</w:t>
      </w:r>
      <w:r w:rsidR="00C629E5">
        <w:t>a</w:t>
      </w:r>
      <w:r w:rsidR="00E432C2">
        <w:t>jeure event as defined above;</w:t>
      </w:r>
    </w:p>
    <w:p w14:paraId="259C7767" w14:textId="599C4B4E" w:rsidR="0055205C" w:rsidRPr="00510AD0" w:rsidRDefault="00C629E5" w:rsidP="00D36D71">
      <w:pPr>
        <w:pStyle w:val="Heading4"/>
        <w:numPr>
          <w:ilvl w:val="3"/>
          <w:numId w:val="43"/>
        </w:numPr>
        <w:ind w:left="0" w:firstLine="1440"/>
      </w:pPr>
      <w:r>
        <w:lastRenderedPageBreak/>
        <w:t xml:space="preserve">a failure of </w:t>
      </w:r>
      <w:r w:rsidR="00FD134A">
        <w:t xml:space="preserve">performance of </w:t>
      </w:r>
      <w:r w:rsidR="00984392" w:rsidRPr="00510AD0">
        <w:t>PG&amp;E acting in its capacity as (A) Participating TO or (B) Utility Distribution Company</w:t>
      </w:r>
      <w:r w:rsidR="00D5562E">
        <w:t xml:space="preserve"> or of any</w:t>
      </w:r>
      <w:r w:rsidR="00984392" w:rsidRPr="00510AD0">
        <w:t xml:space="preserve"> party providing electric interconnection, distribution or transmission service</w:t>
      </w:r>
      <w:r w:rsidR="00A14155">
        <w:t>;</w:t>
      </w:r>
      <w:r w:rsidR="0055205C" w:rsidRPr="00510AD0">
        <w:t xml:space="preserve"> </w:t>
      </w:r>
    </w:p>
    <w:p w14:paraId="7E9D6BE7" w14:textId="5047A08F" w:rsidR="0055205C" w:rsidRPr="00510AD0" w:rsidRDefault="0055205C" w:rsidP="00D36D71">
      <w:pPr>
        <w:pStyle w:val="Heading4"/>
        <w:numPr>
          <w:ilvl w:val="3"/>
          <w:numId w:val="43"/>
        </w:numPr>
        <w:ind w:left="0" w:firstLine="1440"/>
      </w:pPr>
      <w:r w:rsidRPr="00510AD0">
        <w:t xml:space="preserve">breakage or malfunction of equipment (except to the extent that such failure was caused by an event that would otherwise satisfy the definition of a Force Majeure event as defined above);  </w:t>
      </w:r>
    </w:p>
    <w:p w14:paraId="784173AD" w14:textId="7FBD3E2C" w:rsidR="0055205C" w:rsidRPr="00510AD0" w:rsidRDefault="0055205C" w:rsidP="00D36D71">
      <w:pPr>
        <w:pStyle w:val="Heading4"/>
        <w:numPr>
          <w:ilvl w:val="3"/>
          <w:numId w:val="43"/>
        </w:numPr>
        <w:ind w:left="0" w:firstLine="1440"/>
      </w:pPr>
      <w:r w:rsidRPr="00510AD0">
        <w:t xml:space="preserve">a strike, work stoppage or labor dispute limited only to any one or more of Seller, Seller's Affiliates, Project Company or its Affiliates, the EPC Contractor or subcontractors thereof or any other </w:t>
      </w:r>
      <w:r w:rsidR="00C437F8">
        <w:t>t</w:t>
      </w:r>
      <w:r w:rsidRPr="00510AD0">
        <w:t xml:space="preserve">hird </w:t>
      </w:r>
      <w:r w:rsidR="00C437F8">
        <w:t>p</w:t>
      </w:r>
      <w:r w:rsidRPr="00510AD0">
        <w:t xml:space="preserve">arty employed by Seller or Project Company or any of </w:t>
      </w:r>
      <w:r w:rsidR="00DB500D" w:rsidRPr="00510AD0">
        <w:t xml:space="preserve">their </w:t>
      </w:r>
      <w:r w:rsidRPr="00510AD0">
        <w:t>respective</w:t>
      </w:r>
      <w:r w:rsidR="004F63DE" w:rsidRPr="00510AD0">
        <w:t xml:space="preserve"> </w:t>
      </w:r>
      <w:r w:rsidRPr="00510AD0">
        <w:t xml:space="preserve">Affiliates to work on the Project; </w:t>
      </w:r>
    </w:p>
    <w:p w14:paraId="01FFB04F" w14:textId="1ACDEF43" w:rsidR="0055205C" w:rsidRPr="00510AD0" w:rsidRDefault="0055205C" w:rsidP="00D36D71">
      <w:pPr>
        <w:pStyle w:val="Heading4"/>
        <w:numPr>
          <w:ilvl w:val="3"/>
          <w:numId w:val="43"/>
        </w:numPr>
        <w:ind w:left="0" w:firstLine="1440"/>
      </w:pPr>
      <w:r w:rsidRPr="00510AD0">
        <w:t xml:space="preserve">Seller’s ability to sell the Product at a price greater than the price set forth in this Agreement; </w:t>
      </w:r>
    </w:p>
    <w:p w14:paraId="491B6EEF" w14:textId="6960AAD0" w:rsidR="0055205C" w:rsidRPr="00510AD0" w:rsidRDefault="0055205C" w:rsidP="00D36D71">
      <w:pPr>
        <w:pStyle w:val="Heading4"/>
        <w:numPr>
          <w:ilvl w:val="3"/>
          <w:numId w:val="43"/>
        </w:numPr>
        <w:ind w:left="0" w:firstLine="1440"/>
      </w:pPr>
      <w:r w:rsidRPr="00510AD0">
        <w:t>Seller’s</w:t>
      </w:r>
      <w:r w:rsidR="00DB500D" w:rsidRPr="00510AD0">
        <w:t xml:space="preserve"> </w:t>
      </w:r>
      <w:r w:rsidRPr="00510AD0">
        <w:t xml:space="preserve">or Project Company’s inability to obtain permits or approvals of any type for the construction, operation or maintenance of the Project, unless caused solely by an event of Force Majeure of the specific type described in any of subsections (a)(i) through (a)(iv) above; </w:t>
      </w:r>
    </w:p>
    <w:p w14:paraId="3C7BB56C" w14:textId="3C85E6B9" w:rsidR="0055205C" w:rsidRPr="00510AD0" w:rsidRDefault="0055205C" w:rsidP="00D36D71">
      <w:pPr>
        <w:pStyle w:val="Heading4"/>
        <w:numPr>
          <w:ilvl w:val="3"/>
          <w:numId w:val="43"/>
        </w:numPr>
        <w:ind w:left="0" w:firstLine="1440"/>
      </w:pPr>
      <w:r w:rsidRPr="00510AD0">
        <w:t>Seller’s</w:t>
      </w:r>
      <w:r w:rsidR="00DB500D" w:rsidRPr="00510AD0">
        <w:t xml:space="preserve"> </w:t>
      </w:r>
      <w:r w:rsidRPr="00510AD0">
        <w:t xml:space="preserve">or Project Company’s inability to complete interconnection by the Expected Initial Delivery Date, unless such delay is caused solely by an event of Force Majeure of the specific type described in any of subsections (a)(i) through (a)(iv) above; </w:t>
      </w:r>
    </w:p>
    <w:p w14:paraId="70EBBE9B" w14:textId="769BDE54" w:rsidR="0055205C" w:rsidRPr="00510AD0" w:rsidRDefault="0055205C" w:rsidP="00D36D71">
      <w:pPr>
        <w:pStyle w:val="Heading4"/>
        <w:numPr>
          <w:ilvl w:val="3"/>
          <w:numId w:val="43"/>
        </w:numPr>
        <w:ind w:left="0" w:firstLine="1440"/>
      </w:pPr>
      <w:r w:rsidRPr="00510AD0">
        <w:t xml:space="preserve">Seller’s or Project Company’s inability to obtain sufficient fuel, power or materials to </w:t>
      </w:r>
      <w:r w:rsidR="001E4EDD">
        <w:t>construct</w:t>
      </w:r>
      <w:r w:rsidR="00E212C4">
        <w:t>,</w:t>
      </w:r>
      <w:r w:rsidR="009557E0">
        <w:t xml:space="preserve"> </w:t>
      </w:r>
      <w:r w:rsidRPr="00510AD0">
        <w:t>operate</w:t>
      </w:r>
      <w:r w:rsidR="00E212C4">
        <w:t>, and maintain</w:t>
      </w:r>
      <w:r w:rsidRPr="00510AD0">
        <w:t xml:space="preserve"> the Project, except if </w:t>
      </w:r>
      <w:r w:rsidR="00E212C4" w:rsidRPr="00510AD0">
        <w:t xml:space="preserve">Seller’s or Project Company’s </w:t>
      </w:r>
      <w:r w:rsidRPr="00510AD0">
        <w:t>inability to obtain sufficient fuel, power or materials is caused solely by an event of Force Majeure of the specific type described in any of subsections (a)(i) through (a)(iv) above;</w:t>
      </w:r>
    </w:p>
    <w:p w14:paraId="1EFC405D" w14:textId="77C912F8" w:rsidR="0055205C" w:rsidRPr="00510AD0" w:rsidRDefault="0055205C" w:rsidP="00D36D71">
      <w:pPr>
        <w:pStyle w:val="Heading4"/>
        <w:numPr>
          <w:ilvl w:val="3"/>
          <w:numId w:val="43"/>
        </w:numPr>
        <w:ind w:left="0" w:firstLine="1440"/>
      </w:pPr>
      <w:r w:rsidRPr="00510AD0">
        <w:t>Seller’s failure to obtain additional funds, including funds authorized by a state or the federal government or agencies thereof, to supplement the payments made by Buyer pursuant to this Agreement.; or</w:t>
      </w:r>
    </w:p>
    <w:p w14:paraId="4E3DF398" w14:textId="3A87E23A" w:rsidR="0055205C" w:rsidRPr="00510AD0" w:rsidRDefault="0055205C" w:rsidP="00D36D71">
      <w:pPr>
        <w:pStyle w:val="Heading4"/>
        <w:numPr>
          <w:ilvl w:val="3"/>
          <w:numId w:val="43"/>
        </w:numPr>
        <w:ind w:left="0" w:firstLine="1440"/>
      </w:pPr>
      <w:r w:rsidRPr="00510AD0">
        <w:t xml:space="preserve">in the case of </w:t>
      </w:r>
      <w:r w:rsidR="002B3688">
        <w:t xml:space="preserve">a </w:t>
      </w:r>
      <w:r w:rsidRPr="00510AD0">
        <w:t xml:space="preserve">Behind the Meter Project, </w:t>
      </w:r>
      <w:bookmarkStart w:id="845" w:name="DocXTextRef282"/>
      <w:r w:rsidRPr="00510AD0">
        <w:t>(1)</w:t>
      </w:r>
      <w:bookmarkEnd w:id="845"/>
      <w:r w:rsidRPr="00510AD0">
        <w:t xml:space="preserve"> Seller’s inability to obtain or retain sufficient Customers or </w:t>
      </w:r>
      <w:bookmarkStart w:id="846" w:name="DocXTextRef283"/>
      <w:r w:rsidRPr="00510AD0">
        <w:t>(2)</w:t>
      </w:r>
      <w:bookmarkEnd w:id="846"/>
      <w:r w:rsidRPr="00510AD0">
        <w:t xml:space="preserve"> any failure of a Customer to perform (whether or not due to</w:t>
      </w:r>
      <w:r w:rsidR="00476120">
        <w:t xml:space="preserve"> a</w:t>
      </w:r>
      <w:r w:rsidRPr="00510AD0">
        <w:t xml:space="preserve"> Force Majeure </w:t>
      </w:r>
      <w:r w:rsidR="002B3688">
        <w:t xml:space="preserve">event </w:t>
      </w:r>
      <w:r w:rsidRPr="00510AD0">
        <w:t xml:space="preserve">affecting </w:t>
      </w:r>
      <w:r w:rsidR="002B3688">
        <w:t xml:space="preserve">such </w:t>
      </w:r>
      <w:r w:rsidRPr="00510AD0">
        <w:t>Customer).</w:t>
      </w:r>
    </w:p>
    <w:p w14:paraId="39B6F6D2" w14:textId="7FD61B8F" w:rsidR="0055205C" w:rsidRPr="00510AD0" w:rsidRDefault="0055205C" w:rsidP="00E57684">
      <w:pPr>
        <w:pStyle w:val="BodyTextLeft"/>
      </w:pPr>
      <w:r w:rsidRPr="00510AD0">
        <w:t xml:space="preserve">“Force Majeure Failure” has the meaning set forth in Section </w:t>
      </w:r>
      <w:r w:rsidR="00286173" w:rsidRPr="00510AD0">
        <w:fldChar w:fldCharType="begin"/>
      </w:r>
      <w:r w:rsidR="00286173" w:rsidRPr="00510AD0">
        <w:instrText xml:space="preserve">  REF _Ref69141644 \w \h \* MERGEFORMAT </w:instrText>
      </w:r>
      <w:r w:rsidR="00286173" w:rsidRPr="00510AD0">
        <w:fldChar w:fldCharType="separate"/>
      </w:r>
      <w:r w:rsidR="007751F5" w:rsidRPr="00510AD0">
        <w:rPr>
          <w:color w:val="000000"/>
        </w:rPr>
        <w:t>8.1(d)</w:t>
      </w:r>
      <w:r w:rsidR="00286173" w:rsidRPr="00510AD0">
        <w:fldChar w:fldCharType="end"/>
      </w:r>
      <w:r w:rsidRPr="00510AD0">
        <w:t>.</w:t>
      </w:r>
    </w:p>
    <w:p w14:paraId="3B279FA5" w14:textId="77777777" w:rsidR="0055205C" w:rsidRPr="00510AD0" w:rsidRDefault="0055205C" w:rsidP="00E57684">
      <w:pPr>
        <w:pStyle w:val="BodyTextLeft"/>
      </w:pPr>
      <w:r w:rsidRPr="00510AD0">
        <w:t xml:space="preserve">“Front of the Meter Project” means the Project is located front of the retail meter as indicated in </w:t>
      </w:r>
      <w:r w:rsidRPr="00510AD0">
        <w:rPr>
          <w:u w:val="single"/>
        </w:rPr>
        <w:t>Appendix II</w:t>
      </w:r>
      <w:r w:rsidRPr="00510AD0">
        <w:t xml:space="preserve"> Part </w:t>
      </w:r>
      <w:bookmarkStart w:id="847" w:name="DocXTextRef285"/>
      <w:r w:rsidRPr="00510AD0">
        <w:t>A</w:t>
      </w:r>
      <w:bookmarkEnd w:id="847"/>
      <w:r w:rsidRPr="00510AD0">
        <w:t>.</w:t>
      </w:r>
    </w:p>
    <w:p w14:paraId="7A24501C" w14:textId="77777777" w:rsidR="0055205C" w:rsidRPr="00510AD0" w:rsidRDefault="0055205C" w:rsidP="00E57684">
      <w:pPr>
        <w:pStyle w:val="BodyTextLeft"/>
      </w:pPr>
      <w:r w:rsidRPr="00510AD0">
        <w:t xml:space="preserve">“Gains”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w:t>
      </w:r>
      <w:r w:rsidRPr="00510AD0">
        <w:lastRenderedPageBreak/>
        <w:t>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5E2233D6" w14:textId="77777777" w:rsidR="0055205C" w:rsidRPr="00510AD0" w:rsidRDefault="0055205C" w:rsidP="00E57684">
      <w:pPr>
        <w:pStyle w:val="BodyTextLeft"/>
      </w:pPr>
      <w:r w:rsidRPr="00510AD0">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612B87B6" w14:textId="77777777" w:rsidR="0055205C" w:rsidRPr="00510AD0" w:rsidRDefault="0055205C" w:rsidP="00E57684">
      <w:pPr>
        <w:pStyle w:val="BodyTextLeft"/>
      </w:pPr>
      <w:r w:rsidRPr="00510AD0">
        <w:t>“Governmental Approval” means all authorizations, consents, approvals, waivers, exceptions, variances, filings, permits, orders, licenses, exemptions, notices to and declarations of or with any Governmental Authority and shall include those siting and operating permits and licenses, and any of the foregoing under any applicable environmental Law, that are required for the use and operation of the Project.</w:t>
      </w:r>
    </w:p>
    <w:p w14:paraId="5E022B54" w14:textId="77777777" w:rsidR="0055205C" w:rsidRPr="00510AD0" w:rsidRDefault="0055205C" w:rsidP="00E57684">
      <w:pPr>
        <w:pStyle w:val="BodyTextLeft"/>
      </w:pPr>
      <w:r w:rsidRPr="00510AD0">
        <w:t xml:space="preserve">“Governmental Authority” means any federal, state, local or municipal government, governmental department, commission, board, bureau, agency, or instrumentality, independent system operator, or any judicial, regulatory or administrative body, having jurisdiction as to the matter in question.  </w:t>
      </w:r>
    </w:p>
    <w:p w14:paraId="14452A08" w14:textId="2A266527" w:rsidR="0055205C" w:rsidRPr="00510AD0" w:rsidRDefault="0055205C" w:rsidP="00E57684">
      <w:pPr>
        <w:pStyle w:val="BodyTextLeft"/>
      </w:pPr>
      <w:r w:rsidRPr="00510AD0">
        <w:t xml:space="preserve">“Governmental Charges” has the meaning set forth in Section </w:t>
      </w:r>
      <w:r w:rsidR="00286173" w:rsidRPr="00510AD0">
        <w:fldChar w:fldCharType="begin"/>
      </w:r>
      <w:r w:rsidR="00286173" w:rsidRPr="00510AD0">
        <w:instrText xml:space="preserve">  REF _Ref69141706 \w \h \* MERGEFORMAT </w:instrText>
      </w:r>
      <w:r w:rsidR="00286173" w:rsidRPr="00510AD0">
        <w:fldChar w:fldCharType="separate"/>
      </w:r>
      <w:r w:rsidR="007751F5" w:rsidRPr="00510AD0">
        <w:rPr>
          <w:color w:val="000000"/>
        </w:rPr>
        <w:t>12.2</w:t>
      </w:r>
      <w:r w:rsidR="00286173" w:rsidRPr="00510AD0">
        <w:fldChar w:fldCharType="end"/>
      </w:r>
      <w:r w:rsidRPr="00510AD0">
        <w:t>.</w:t>
      </w:r>
      <w:bookmarkStart w:id="848" w:name="_Hlk65602586"/>
    </w:p>
    <w:bookmarkEnd w:id="848"/>
    <w:p w14:paraId="3C6A39B1" w14:textId="4F67FCCF" w:rsidR="0055205C" w:rsidRPr="00510AD0" w:rsidRDefault="009D0A06" w:rsidP="00E57684">
      <w:pPr>
        <w:pStyle w:val="BodyTextLeft"/>
      </w:pPr>
      <w:r w:rsidRPr="00510AD0">
        <w:t>[</w:t>
      </w:r>
      <w:r w:rsidR="0055205C" w:rsidRPr="00510AD0">
        <w:t xml:space="preserve">“Guarantor” </w:t>
      </w:r>
      <w:r w:rsidR="0027520A" w:rsidRPr="00510AD0">
        <w:t xml:space="preserve">has the meaning set forth in Section 10.6. </w:t>
      </w:r>
    </w:p>
    <w:p w14:paraId="52340B66" w14:textId="657D9319" w:rsidR="0055205C" w:rsidRPr="00510AD0" w:rsidRDefault="0055205C" w:rsidP="00E57684">
      <w:pPr>
        <w:pStyle w:val="BodyTextLeft"/>
      </w:pPr>
      <w:r w:rsidRPr="00510AD0">
        <w:t xml:space="preserve">“Guaranty” means a guaranty issued by an entity acceptable to Buyer, in Buyer’s sole discretion, and in the form of </w:t>
      </w:r>
      <w:r w:rsidRPr="00510AD0">
        <w:rPr>
          <w:u w:val="single"/>
        </w:rPr>
        <w:t>Appendix VII-B</w:t>
      </w:r>
      <w:r w:rsidRPr="00510AD0">
        <w:t xml:space="preserve"> if the </w:t>
      </w:r>
      <w:r w:rsidR="00F027B4">
        <w:t>G</w:t>
      </w:r>
      <w:r w:rsidRPr="00510AD0">
        <w:t xml:space="preserve">uarantor is domiciled in the United States of America, or in the form of </w:t>
      </w:r>
      <w:r w:rsidRPr="00510AD0">
        <w:rPr>
          <w:u w:val="single"/>
        </w:rPr>
        <w:t>Appendix</w:t>
      </w:r>
      <w:r w:rsidRPr="00510AD0">
        <w:rPr>
          <w:i/>
          <w:u w:val="single"/>
        </w:rPr>
        <w:t xml:space="preserve"> </w:t>
      </w:r>
      <w:r w:rsidRPr="00510AD0">
        <w:rPr>
          <w:u w:val="single"/>
        </w:rPr>
        <w:t>VII-C</w:t>
      </w:r>
      <w:r w:rsidRPr="00510AD0">
        <w:t xml:space="preserve"> if the </w:t>
      </w:r>
      <w:r w:rsidR="00F027B4">
        <w:t>G</w:t>
      </w:r>
      <w:r w:rsidRPr="00510AD0">
        <w:t>uarantor is domiciled outside of the United States of America in a country that is acceptable to Buyer in its sole discretion.</w:t>
      </w:r>
      <w:r w:rsidR="009D0A06" w:rsidRPr="00510AD0">
        <w:t>]</w:t>
      </w:r>
      <w:r w:rsidR="009D0A06" w:rsidRPr="00510AD0">
        <w:rPr>
          <w:rStyle w:val="FootnoteReference"/>
        </w:rPr>
        <w:footnoteReference w:id="43"/>
      </w:r>
      <w:r w:rsidRPr="00510AD0">
        <w:t xml:space="preserve"> </w:t>
      </w:r>
    </w:p>
    <w:p w14:paraId="31A62890" w14:textId="77777777" w:rsidR="0055205C" w:rsidRPr="00510AD0" w:rsidRDefault="0055205C" w:rsidP="00E57684">
      <w:pPr>
        <w:pStyle w:val="BodyTextLeft"/>
      </w:pPr>
      <w:r w:rsidRPr="00510AD0">
        <w:t xml:space="preserve">“Hazardous Substance” means, collectively, </w:t>
      </w:r>
      <w:bookmarkStart w:id="849" w:name="DocXTextRef287"/>
      <w:r w:rsidRPr="00510AD0">
        <w:t>(a)</w:t>
      </w:r>
      <w:bookmarkEnd w:id="849"/>
      <w:r w:rsidRPr="00510AD0">
        <w:t xml:space="preserve"> any chemical, material or substance that is listed or regulated under applicable Laws as a “hazardous” or “toxic” substance or waste, or as a “contaminant” or “pollutant” or words of similar import, </w:t>
      </w:r>
      <w:bookmarkStart w:id="850" w:name="DocXTextRef288"/>
      <w:r w:rsidRPr="00510AD0">
        <w:t>(b)</w:t>
      </w:r>
      <w:bookmarkEnd w:id="850"/>
      <w:r w:rsidRPr="00510AD0">
        <w:t xml:space="preserve"> any petroleum or petroleum products, flammable materials, explosives, radioactive materials, asbestos, urea formaldehyde foam insulation, and transformers or other equipment that contain polychlorinated biphenyls ("PCBs"), and </w:t>
      </w:r>
      <w:bookmarkStart w:id="851" w:name="DocXTextRef289"/>
      <w:r w:rsidRPr="00510AD0">
        <w:t>(c)</w:t>
      </w:r>
      <w:bookmarkEnd w:id="851"/>
      <w:r w:rsidRPr="00510AD0">
        <w:t xml:space="preserve"> any other chemical or other material or substance, exposure to which is prohibited, limited or regulated by any Laws.</w:t>
      </w:r>
    </w:p>
    <w:p w14:paraId="4E6EF45A" w14:textId="02283ED8" w:rsidR="0055205C" w:rsidRPr="00510AD0" w:rsidRDefault="0055205C" w:rsidP="00E57684">
      <w:pPr>
        <w:pStyle w:val="BodyTextLeft"/>
      </w:pPr>
      <w:r w:rsidRPr="00510AD0">
        <w:t xml:space="preserve">“IDD Cure Period” has the meaning set forth in Section </w:t>
      </w:r>
      <w:r w:rsidR="00286173" w:rsidRPr="00510AD0">
        <w:fldChar w:fldCharType="begin"/>
      </w:r>
      <w:r w:rsidR="00286173" w:rsidRPr="00510AD0">
        <w:instrText xml:space="preserve">  REF _Ref69141564 \w \h \* MERGEFORMAT </w:instrText>
      </w:r>
      <w:r w:rsidR="00286173" w:rsidRPr="00510AD0">
        <w:fldChar w:fldCharType="separate"/>
      </w:r>
      <w:r w:rsidR="007751F5" w:rsidRPr="00510AD0">
        <w:rPr>
          <w:color w:val="000000"/>
        </w:rPr>
        <w:t>2.3(a)</w:t>
      </w:r>
      <w:r w:rsidR="00286173" w:rsidRPr="00510AD0">
        <w:fldChar w:fldCharType="end"/>
      </w:r>
      <w:r w:rsidRPr="00510AD0">
        <w:t>.</w:t>
      </w:r>
    </w:p>
    <w:p w14:paraId="11A10AF2" w14:textId="77777777" w:rsidR="0055205C" w:rsidRPr="00510AD0" w:rsidRDefault="0055205C" w:rsidP="00E57684">
      <w:pPr>
        <w:pStyle w:val="BodyTextLeft"/>
      </w:pPr>
      <w:r w:rsidRPr="00510AD0">
        <w:t xml:space="preserve">“Indemnifiable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 including, without limitation, any penalties, fines or costs assessed against Buyer by the CPUC or CAISO </w:t>
      </w:r>
      <w:r w:rsidRPr="00510AD0">
        <w:lastRenderedPageBreak/>
        <w:t xml:space="preserve">resulting from or arising out of Seller’s performance or failure to perform its obligations under this Agreement. </w:t>
      </w:r>
    </w:p>
    <w:p w14:paraId="6A2DAF1E" w14:textId="77777777" w:rsidR="0055205C" w:rsidRPr="00510AD0" w:rsidRDefault="0055205C" w:rsidP="00E57684">
      <w:pPr>
        <w:pStyle w:val="BodyTextLeft"/>
      </w:pPr>
      <w:r w:rsidRPr="00510AD0">
        <w:t>“Indemnitee” means the Buyer Group.</w:t>
      </w:r>
    </w:p>
    <w:p w14:paraId="75A3FD7E" w14:textId="77777777" w:rsidR="0055205C" w:rsidRPr="00510AD0" w:rsidRDefault="0055205C" w:rsidP="00E57684">
      <w:pPr>
        <w:pStyle w:val="BodyTextLeft"/>
      </w:pPr>
      <w:r w:rsidRPr="00510AD0">
        <w:t>“Indemnitor” means the Seller Group.</w:t>
      </w:r>
    </w:p>
    <w:p w14:paraId="2F40C4AF" w14:textId="78FA549F" w:rsidR="0055205C" w:rsidRPr="00510AD0" w:rsidRDefault="009D0A06" w:rsidP="00E57684">
      <w:pPr>
        <w:pStyle w:val="BodyTextLeft"/>
      </w:pPr>
      <w:r w:rsidRPr="00510AD0">
        <w:t>[</w:t>
      </w:r>
      <w:r w:rsidR="0055205C" w:rsidRPr="00510AD0">
        <w:t xml:space="preserve">“Ineligible LC Bank” has the meaning set forth in Section </w:t>
      </w:r>
      <w:r w:rsidR="00286173" w:rsidRPr="00510AD0">
        <w:fldChar w:fldCharType="begin"/>
      </w:r>
      <w:r w:rsidR="00286173" w:rsidRPr="00510AD0">
        <w:instrText xml:space="preserve">  REF _Ref69141679 \w \h \* MERGEFORMAT </w:instrText>
      </w:r>
      <w:r w:rsidR="00286173" w:rsidRPr="00510AD0">
        <w:fldChar w:fldCharType="separate"/>
      </w:r>
      <w:r w:rsidR="007751F5" w:rsidRPr="00510AD0">
        <w:rPr>
          <w:color w:val="000000"/>
        </w:rPr>
        <w:t>10.5(c)(i)</w:t>
      </w:r>
      <w:r w:rsidR="00286173" w:rsidRPr="00510AD0">
        <w:fldChar w:fldCharType="end"/>
      </w:r>
      <w:r w:rsidR="0055205C" w:rsidRPr="00510AD0">
        <w:t>(A).</w:t>
      </w:r>
    </w:p>
    <w:p w14:paraId="62C6356E" w14:textId="692F1C8F" w:rsidR="0055205C" w:rsidRPr="00510AD0" w:rsidRDefault="0055205C" w:rsidP="00E57684">
      <w:pPr>
        <w:pStyle w:val="BodyTextLeft"/>
      </w:pPr>
      <w:r w:rsidRPr="00510AD0">
        <w:t xml:space="preserve">“Ineligible LC Bank Notice Period” has the meaning set forth in Section </w:t>
      </w:r>
      <w:r w:rsidR="00286173" w:rsidRPr="00510AD0">
        <w:fldChar w:fldCharType="begin"/>
      </w:r>
      <w:r w:rsidR="00286173" w:rsidRPr="00510AD0">
        <w:instrText xml:space="preserve">  REF _Ref69141679 \w \h \* MERGEFORMAT </w:instrText>
      </w:r>
      <w:r w:rsidR="00286173" w:rsidRPr="00510AD0">
        <w:fldChar w:fldCharType="separate"/>
      </w:r>
      <w:r w:rsidR="007751F5" w:rsidRPr="00510AD0">
        <w:rPr>
          <w:color w:val="000000"/>
        </w:rPr>
        <w:t>10.5(c)(i)</w:t>
      </w:r>
      <w:r w:rsidR="00286173" w:rsidRPr="00510AD0">
        <w:fldChar w:fldCharType="end"/>
      </w:r>
      <w:r w:rsidRPr="00510AD0">
        <w:t>.</w:t>
      </w:r>
      <w:r w:rsidR="009D0A06" w:rsidRPr="00510AD0">
        <w:t>]</w:t>
      </w:r>
      <w:r w:rsidR="009D0A06" w:rsidRPr="00510AD0">
        <w:rPr>
          <w:rStyle w:val="FootnoteReference"/>
        </w:rPr>
        <w:footnoteReference w:id="44"/>
      </w:r>
    </w:p>
    <w:p w14:paraId="68FC9E37" w14:textId="3BD0C96F" w:rsidR="0055205C" w:rsidRPr="00510AD0" w:rsidRDefault="0055205C" w:rsidP="00E57684">
      <w:pPr>
        <w:pStyle w:val="BodyTextLeft"/>
      </w:pPr>
      <w:r w:rsidRPr="00510AD0">
        <w:t xml:space="preserve">“Initial Delivery Date” has the meaning set forth in Section </w:t>
      </w:r>
      <w:r w:rsidR="00286173" w:rsidRPr="00510AD0">
        <w:fldChar w:fldCharType="begin"/>
      </w:r>
      <w:r w:rsidR="00286173" w:rsidRPr="00510AD0">
        <w:instrText xml:space="preserve">  REF _Ref69141540 \w \h \* MERGEFORMAT </w:instrText>
      </w:r>
      <w:r w:rsidR="00286173" w:rsidRPr="00510AD0">
        <w:fldChar w:fldCharType="separate"/>
      </w:r>
      <w:r w:rsidR="007751F5" w:rsidRPr="00510AD0">
        <w:rPr>
          <w:color w:val="000000"/>
        </w:rPr>
        <w:t>1.1(d)</w:t>
      </w:r>
      <w:r w:rsidR="00286173" w:rsidRPr="00510AD0">
        <w:fldChar w:fldCharType="end"/>
      </w:r>
      <w:r w:rsidRPr="00510AD0">
        <w:t>.</w:t>
      </w:r>
    </w:p>
    <w:p w14:paraId="3E4E9B57" w14:textId="6619CA39" w:rsidR="0055205C" w:rsidRPr="00510AD0" w:rsidRDefault="0055205C" w:rsidP="00E57684">
      <w:pPr>
        <w:pStyle w:val="BodyTextLeft"/>
      </w:pPr>
      <w:r w:rsidRPr="00510AD0">
        <w:t xml:space="preserve">“Initial Negotiation End Date” has the meaning set forth in Section </w:t>
      </w:r>
      <w:r w:rsidR="00286173" w:rsidRPr="00510AD0">
        <w:fldChar w:fldCharType="begin"/>
      </w:r>
      <w:r w:rsidR="00286173" w:rsidRPr="00510AD0">
        <w:instrText xml:space="preserve">  REF _Ref69141796 \w \h \* MERGEFORMAT </w:instrText>
      </w:r>
      <w:r w:rsidR="00286173" w:rsidRPr="00510AD0">
        <w:fldChar w:fldCharType="separate"/>
      </w:r>
      <w:r w:rsidR="007751F5" w:rsidRPr="00510AD0">
        <w:rPr>
          <w:color w:val="000000"/>
        </w:rPr>
        <w:t>18.2(a)</w:t>
      </w:r>
      <w:r w:rsidR="00286173" w:rsidRPr="00510AD0">
        <w:fldChar w:fldCharType="end"/>
      </w:r>
      <w:r w:rsidRPr="00510AD0">
        <w:t>.</w:t>
      </w:r>
    </w:p>
    <w:p w14:paraId="68AA4001" w14:textId="602F3392" w:rsidR="0055205C" w:rsidRPr="00510AD0" w:rsidRDefault="0055205C" w:rsidP="00E57684">
      <w:pPr>
        <w:pStyle w:val="BodyTextLeft"/>
      </w:pPr>
      <w:r w:rsidRPr="00510AD0">
        <w:t>“Interconnection Agreement” means the agreement and associated documents (or any successor agreement and associated documentation approved by FERC or the CPUC) by and among Seller or Project Company, as applicable,</w:t>
      </w:r>
      <w:r w:rsidR="004F63DE" w:rsidRPr="00510AD0">
        <w:t xml:space="preserve"> </w:t>
      </w:r>
      <w:r w:rsidRPr="00510AD0">
        <w:t>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666659AD" w14:textId="77777777" w:rsidR="0055205C" w:rsidRPr="00510AD0" w:rsidRDefault="0055205C" w:rsidP="00E57684">
      <w:pPr>
        <w:pStyle w:val="BodyTextLeft"/>
      </w:pPr>
      <w:r w:rsidRPr="00510AD0">
        <w:t>“Interconnection Study” means any of the studies defined in the CAISO Tariff or, if applicable, any distribution provider’s tariff that reflect the methodology and costs to interconnect the Project to the CAISO or Participating Transmission Owner’s electric grid.</w:t>
      </w:r>
    </w:p>
    <w:p w14:paraId="7F8B3097" w14:textId="314E2A10" w:rsidR="0055205C" w:rsidRPr="00510AD0" w:rsidRDefault="009D0A06" w:rsidP="00E57684">
      <w:pPr>
        <w:pStyle w:val="BodyTextLeft"/>
      </w:pPr>
      <w:r w:rsidRPr="00510AD0">
        <w:t>[</w:t>
      </w:r>
      <w:r w:rsidR="0055205C" w:rsidRPr="00510AD0">
        <w:t xml:space="preserve">“Interest Amount” means, with respect to an Interest Period, the amount of interest calculated as follows: </w:t>
      </w:r>
      <w:bookmarkStart w:id="852" w:name="DocXTextRef296"/>
      <w:r w:rsidR="0055205C" w:rsidRPr="00510AD0">
        <w:t>(a)</w:t>
      </w:r>
      <w:bookmarkEnd w:id="852"/>
      <w:r w:rsidR="0055205C" w:rsidRPr="00510AD0">
        <w:t xml:space="preserve"> the sum of </w:t>
      </w:r>
      <w:bookmarkStart w:id="853" w:name="DocXTextRef297"/>
      <w:r w:rsidR="0055205C" w:rsidRPr="00510AD0">
        <w:t>(i)</w:t>
      </w:r>
      <w:bookmarkEnd w:id="853"/>
      <w:r w:rsidR="0055205C" w:rsidRPr="00510AD0">
        <w:t xml:space="preserve"> the principal amount of Performance Assurance in the form of cash held by Buyer during that Interest Period, and (ii) the sum of all accrued and unpaid Interest Amounts accumulated prior to such Interest Period; </w:t>
      </w:r>
      <w:bookmarkStart w:id="854" w:name="DocXTextRef298"/>
      <w:r w:rsidR="0055205C" w:rsidRPr="00510AD0">
        <w:t>(b)</w:t>
      </w:r>
      <w:bookmarkEnd w:id="854"/>
      <w:r w:rsidR="0055205C" w:rsidRPr="00510AD0">
        <w:t xml:space="preserve"> multiplied by the Interest Rate in effect for that Interest Period; </w:t>
      </w:r>
      <w:bookmarkStart w:id="855" w:name="DocXTextRef299"/>
      <w:r w:rsidR="0055205C" w:rsidRPr="00510AD0">
        <w:t>(c)</w:t>
      </w:r>
      <w:bookmarkEnd w:id="855"/>
      <w:r w:rsidR="0055205C" w:rsidRPr="00510AD0">
        <w:t xml:space="preserve"> multiplied by the number of days in that Interest Period; </w:t>
      </w:r>
      <w:bookmarkStart w:id="856" w:name="DocXTextRef300"/>
      <w:r w:rsidR="0055205C" w:rsidRPr="00510AD0">
        <w:t>(d)</w:t>
      </w:r>
      <w:bookmarkEnd w:id="856"/>
      <w:r w:rsidR="0055205C" w:rsidRPr="00510AD0">
        <w:t xml:space="preserve"> divided by </w:t>
      </w:r>
      <w:bookmarkStart w:id="857" w:name="DocXTextRef295"/>
      <w:r w:rsidR="0055205C" w:rsidRPr="00510AD0">
        <w:t>360</w:t>
      </w:r>
      <w:bookmarkEnd w:id="857"/>
      <w:r w:rsidR="0055205C" w:rsidRPr="00510AD0">
        <w:t>.</w:t>
      </w:r>
    </w:p>
    <w:p w14:paraId="19D3FC88" w14:textId="77777777" w:rsidR="0055205C" w:rsidRPr="00510AD0" w:rsidRDefault="0055205C" w:rsidP="00E57684">
      <w:pPr>
        <w:pStyle w:val="BodyTextLeft"/>
      </w:pPr>
      <w:r w:rsidRPr="00510AD0">
        <w:t>“Interest Payment Date” means the date of returning unused Performance Assurance held in the form of cash.</w:t>
      </w:r>
    </w:p>
    <w:p w14:paraId="748BA1A1" w14:textId="6FF8688D" w:rsidR="0055205C" w:rsidRPr="00510AD0" w:rsidRDefault="0055205C" w:rsidP="00E57684">
      <w:pPr>
        <w:pStyle w:val="BodyTextLeft"/>
      </w:pPr>
      <w:r w:rsidRPr="00510AD0">
        <w:t>“Interest Period” means the monthly period beginning on the first day of each month and ending on the last day of each month.</w:t>
      </w:r>
      <w:r w:rsidR="009D0A06" w:rsidRPr="00510AD0">
        <w:t>]</w:t>
      </w:r>
      <w:r w:rsidR="009D0A06" w:rsidRPr="00510AD0">
        <w:rPr>
          <w:rStyle w:val="FootnoteReference"/>
        </w:rPr>
        <w:footnoteReference w:id="45"/>
      </w:r>
    </w:p>
    <w:p w14:paraId="2BC48E7B" w14:textId="77777777" w:rsidR="0055205C" w:rsidRPr="00510AD0" w:rsidRDefault="0055205C" w:rsidP="00E57684">
      <w:pPr>
        <w:pStyle w:val="BodyTextLeft"/>
      </w:pPr>
      <w:r w:rsidRPr="00510AD0">
        <w:t>“Interest Rate” means the rate per annum equal to the “Monthly” Federal Funds Rate (as reset on a monthly basis based on the latest month for which such rate is available) as reported in Federal Reserve Bank Publication H.15-519, or its successor publication.</w:t>
      </w:r>
    </w:p>
    <w:p w14:paraId="2E9ADB3A" w14:textId="77777777" w:rsidR="0055205C" w:rsidRPr="00510AD0" w:rsidRDefault="0055205C" w:rsidP="00E57684">
      <w:pPr>
        <w:pStyle w:val="BodyTextLeft"/>
      </w:pPr>
      <w:r w:rsidRPr="00510AD0">
        <w:t xml:space="preserve"> “JAMS” means JAMS, Inc. or its successor entity, a judicial arbitration and mediation service. </w:t>
      </w:r>
    </w:p>
    <w:p w14:paraId="05D9120C" w14:textId="77777777" w:rsidR="0055205C" w:rsidRPr="00510AD0" w:rsidRDefault="0055205C" w:rsidP="00E57684">
      <w:pPr>
        <w:pStyle w:val="BodyTextLeft"/>
      </w:pPr>
      <w:r w:rsidRPr="00510AD0">
        <w:lastRenderedPageBreak/>
        <w:t>“kW” means kilowatts.</w:t>
      </w:r>
    </w:p>
    <w:p w14:paraId="7395FEE5" w14:textId="77777777" w:rsidR="0055205C" w:rsidRPr="00510AD0" w:rsidRDefault="0055205C" w:rsidP="00E57684">
      <w:pPr>
        <w:pStyle w:val="BodyTextLeft"/>
      </w:pPr>
      <w:r w:rsidRPr="00510AD0">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5C607B4B" w14:textId="0C2317E0" w:rsidR="0055205C" w:rsidRPr="00510AD0" w:rsidRDefault="0055205C" w:rsidP="00E57684">
      <w:pPr>
        <w:pStyle w:val="BodyTextLeft"/>
      </w:pPr>
      <w:r w:rsidRPr="00510AD0">
        <w:t xml:space="preserve">“LC Notice” has the meaning set forth in Section </w:t>
      </w:r>
      <w:r w:rsidR="00286173" w:rsidRPr="00510AD0">
        <w:fldChar w:fldCharType="begin"/>
      </w:r>
      <w:r w:rsidR="00286173" w:rsidRPr="00510AD0">
        <w:instrText xml:space="preserve">  REF _Ref69141678 \w \h \* MERGEFORMAT </w:instrText>
      </w:r>
      <w:r w:rsidR="00286173" w:rsidRPr="00510AD0">
        <w:fldChar w:fldCharType="separate"/>
      </w:r>
      <w:r w:rsidR="007751F5" w:rsidRPr="00510AD0">
        <w:rPr>
          <w:color w:val="000000"/>
        </w:rPr>
        <w:t>10.5(c)</w:t>
      </w:r>
      <w:r w:rsidR="00286173" w:rsidRPr="00510AD0">
        <w:fldChar w:fldCharType="end"/>
      </w:r>
      <w:r w:rsidRPr="00510AD0">
        <w:t>.</w:t>
      </w:r>
    </w:p>
    <w:p w14:paraId="7C66DFDB" w14:textId="248BE847" w:rsidR="0055205C" w:rsidRPr="00510AD0" w:rsidRDefault="0055205C" w:rsidP="00E57684">
      <w:pPr>
        <w:pStyle w:val="BodyTextLeft"/>
      </w:pPr>
      <w:bookmarkStart w:id="858" w:name="_Hlk64993259"/>
      <w:r w:rsidRPr="00510AD0">
        <w:t>“Letter of Credit”</w:t>
      </w:r>
      <w:r w:rsidR="009D0A06" w:rsidRPr="00510AD0">
        <w:rPr>
          <w:rStyle w:val="FootnoteReference"/>
        </w:rPr>
        <w:footnoteReference w:id="46"/>
      </w:r>
      <w:r w:rsidRPr="00510AD0">
        <w:t xml:space="preserve"> means an irrevocable, non-transferable standby letter of credit, the form of which must be substantially as contained in </w:t>
      </w:r>
      <w:r w:rsidRPr="00510AD0">
        <w:rPr>
          <w:u w:val="single"/>
        </w:rPr>
        <w:t>Appendix VII-A</w:t>
      </w:r>
      <w:r w:rsidRPr="00510AD0">
        <w:t xml:space="preserve"> to this Agreement issued by an issuer that is an Eligible LC Bank on the date of Transfer; provided, that </w:t>
      </w:r>
      <w:bookmarkStart w:id="859" w:name="DocXTextRef302"/>
      <w:r w:rsidRPr="00510AD0">
        <w:t>(i)</w:t>
      </w:r>
      <w:bookmarkEnd w:id="859"/>
      <w:r w:rsidRPr="00510AD0">
        <w:t xml:space="preserve"> if the issuer is a U.S. branch of a foreign commercial bank, Buyer may require changes to such form; and (ii) any Letter of Credit in excess of ten million dollars ($10,000,000.00) requires Buyer’s prior written consent.</w:t>
      </w:r>
    </w:p>
    <w:bookmarkEnd w:id="858"/>
    <w:p w14:paraId="11A6DF2E" w14:textId="0B854ABD" w:rsidR="0055205C" w:rsidRPr="00510AD0" w:rsidRDefault="0055205C" w:rsidP="00E57684">
      <w:pPr>
        <w:pStyle w:val="BodyTextLeft"/>
      </w:pPr>
      <w:r w:rsidRPr="00510AD0">
        <w:t xml:space="preserve">“Licensed Professional Engineer” means a person acceptable to Buyer in its reasonable judgment who </w:t>
      </w:r>
      <w:bookmarkStart w:id="860" w:name="DocXTextRef303"/>
      <w:r w:rsidRPr="00510AD0">
        <w:t>(a)</w:t>
      </w:r>
      <w:bookmarkEnd w:id="860"/>
      <w:r w:rsidRPr="00510AD0">
        <w:t xml:space="preserve"> is licensed to practice engineering in California, </w:t>
      </w:r>
      <w:bookmarkStart w:id="861" w:name="DocXTextRef304"/>
      <w:r w:rsidRPr="00510AD0">
        <w:t>(b)</w:t>
      </w:r>
      <w:bookmarkEnd w:id="861"/>
      <w:r w:rsidRPr="00510AD0">
        <w:t xml:space="preserve"> has training and experience in the power industry specific to the technology of the Project, </w:t>
      </w:r>
      <w:bookmarkStart w:id="862" w:name="DocXTextRef305"/>
      <w:r w:rsidRPr="00510AD0">
        <w:t>(c)</w:t>
      </w:r>
      <w:bookmarkEnd w:id="862"/>
      <w:r w:rsidRPr="00510AD0">
        <w:t xml:space="preserve"> has no economic relationship, association, or nexus with Seller, Project Company or Buyer, other than to meet the obligations of Seller pursuant to this Agreement, </w:t>
      </w:r>
      <w:bookmarkStart w:id="863" w:name="DocXTextRef306"/>
      <w:r w:rsidRPr="00510AD0">
        <w:t>(d)</w:t>
      </w:r>
      <w:bookmarkEnd w:id="863"/>
      <w:r w:rsidRPr="00510AD0">
        <w:t xml:space="preserve"> is not a representative of a consultant, engineer, contractor, designer or other individual involved in the development of the Project or of a manufacturer or supplier of any equipment installed at the Project, and </w:t>
      </w:r>
      <w:bookmarkStart w:id="864" w:name="DocXTextRef307"/>
      <w:r w:rsidRPr="00510AD0">
        <w:t>(e)</w:t>
      </w:r>
      <w:bookmarkEnd w:id="864"/>
      <w:r w:rsidRPr="00510AD0">
        <w:t xml:space="preserve"> is licensed in an appropriate engineering discipline for the required certification being made.</w:t>
      </w:r>
    </w:p>
    <w:p w14:paraId="49CC9CAF" w14:textId="77777777" w:rsidR="0055205C" w:rsidRPr="00510AD0" w:rsidRDefault="0055205C" w:rsidP="00E57684">
      <w:pPr>
        <w:pStyle w:val="BodyTextLeft"/>
      </w:pPr>
      <w:r w:rsidRPr="00510AD0">
        <w:t>“Local Capacity Area” has the meaning set forth in the CAISO Tariff.</w:t>
      </w:r>
    </w:p>
    <w:p w14:paraId="49A3CF86" w14:textId="56B4B0EF" w:rsidR="0055205C" w:rsidRPr="00510AD0" w:rsidRDefault="0055205C" w:rsidP="00E57684">
      <w:pPr>
        <w:pStyle w:val="BodyTextLeft"/>
      </w:pPr>
      <w:r w:rsidRPr="00510AD0">
        <w:t xml:space="preserve">“Local RA Attributes” means any and all </w:t>
      </w:r>
      <w:r w:rsidR="00BF2589" w:rsidRPr="00510AD0">
        <w:t xml:space="preserve">local </w:t>
      </w:r>
      <w:r w:rsidRPr="00510AD0">
        <w:t>resource adequacy attributes or other locational attributes related to a Local Capacity Area, as may be identified at any time during the Delivery Term by the CPUC, CAISO or other Governmental Authority having jurisdiction, associated with a physical location or point of electrical interconnection within the CAISO’s Balancing Authority, that can be counted toward a Local RAR.</w:t>
      </w:r>
    </w:p>
    <w:p w14:paraId="2C5D1B60" w14:textId="34C8E048" w:rsidR="0055205C" w:rsidRPr="00510AD0" w:rsidRDefault="0055205C" w:rsidP="00E57684">
      <w:pPr>
        <w:pStyle w:val="BodyTextLeft"/>
      </w:pPr>
      <w:bookmarkStart w:id="865" w:name="_Hlk64993276"/>
      <w:r w:rsidRPr="00510AD0">
        <w:t>“</w:t>
      </w:r>
      <w:r w:rsidR="008D3BA7" w:rsidRPr="00510AD0">
        <w:t>Local RA Central Procurement Decisions</w:t>
      </w:r>
      <w:r w:rsidRPr="00510AD0">
        <w:t xml:space="preserve">” means, collectively, the CPUC Decision No. 20-06-002 on Central Procurement of the Resource Adequacy Program, CPUC Decision No. 20-12-006 on Track </w:t>
      </w:r>
      <w:bookmarkStart w:id="866" w:name="DocXTextRef308"/>
      <w:r w:rsidRPr="00510AD0">
        <w:t>3</w:t>
      </w:r>
      <w:bookmarkEnd w:id="866"/>
      <w:r w:rsidRPr="00510AD0">
        <w:t>.A Issues: Local Capacity Requirement Reduction Compensation Mechanism and Competitive Neutrality Rules</w:t>
      </w:r>
      <w:r w:rsidR="00450902" w:rsidRPr="00510AD0">
        <w:t>, CPUC Decision No. 22-03-034 on Modifications to the Central Procurement Entity Structure</w:t>
      </w:r>
      <w:r w:rsidRPr="00510AD0">
        <w:t xml:space="preserve"> or any subsequent related decision(s). </w:t>
      </w:r>
    </w:p>
    <w:bookmarkEnd w:id="865"/>
    <w:p w14:paraId="0AF00799" w14:textId="15DFA936" w:rsidR="0055205C" w:rsidRPr="00510AD0" w:rsidRDefault="0055205C" w:rsidP="00E57684">
      <w:pPr>
        <w:pStyle w:val="BodyTextLeft"/>
      </w:pPr>
      <w:r w:rsidRPr="00510AD0">
        <w:t>“Local RAR” means the local resource adequacy requirements established</w:t>
      </w:r>
      <w:r w:rsidR="0027520A" w:rsidRPr="00510AD0">
        <w:t xml:space="preserve"> for LSEs</w:t>
      </w:r>
      <w:r w:rsidRPr="00510AD0">
        <w:t xml:space="preserve"> by the CPUC pursuant to CPUC Decisions, </w:t>
      </w:r>
      <w:r w:rsidR="0027520A" w:rsidRPr="00510AD0">
        <w:t xml:space="preserve">by CAISO pursuant to the CAISO Tariff, </w:t>
      </w:r>
      <w:r w:rsidRPr="00510AD0">
        <w:t xml:space="preserve">or by any other Governmental Authority having jurisdiction.  Local RAR may also be known as local area </w:t>
      </w:r>
      <w:r w:rsidRPr="00510AD0">
        <w:lastRenderedPageBreak/>
        <w:t>reliability, local resource adequacy, local resource adequacy procurement requirements, or local capacity requirement in other regulatory proceedings or legislative actions.</w:t>
      </w:r>
    </w:p>
    <w:p w14:paraId="35602444" w14:textId="77777777" w:rsidR="0055205C" w:rsidRPr="00510AD0" w:rsidRDefault="0055205C" w:rsidP="00E57684">
      <w:pPr>
        <w:pStyle w:val="BodyTextLeft"/>
      </w:pPr>
      <w:r w:rsidRPr="00510AD0">
        <w:t>“Locational Marginal Price” has the meaning set forth in the CAISO Tariff.</w:t>
      </w:r>
    </w:p>
    <w:p w14:paraId="445C1A92" w14:textId="406B3065" w:rsidR="0055205C" w:rsidRPr="00510AD0" w:rsidRDefault="0055205C" w:rsidP="00E57684">
      <w:pPr>
        <w:pStyle w:val="BodyTextLeft"/>
      </w:pPr>
      <w:r w:rsidRPr="00510AD0">
        <w:t>“Losses”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6B2C59DF" w14:textId="1390E824" w:rsidR="0027520A" w:rsidRPr="00510AD0" w:rsidRDefault="0027520A" w:rsidP="00E57684">
      <w:pPr>
        <w:pStyle w:val="BodyTextLeft"/>
      </w:pPr>
      <w:r w:rsidRPr="00510AD0">
        <w:t xml:space="preserve">“LSE” means “Load Serving Entity” as such term is defined in the </w:t>
      </w:r>
      <w:r w:rsidR="001D560A" w:rsidRPr="00510AD0">
        <w:t xml:space="preserve">CAISO </w:t>
      </w:r>
      <w:r w:rsidRPr="00510AD0">
        <w:t>Tariff.</w:t>
      </w:r>
    </w:p>
    <w:p w14:paraId="1C743306" w14:textId="72C172AC" w:rsidR="0055205C" w:rsidRPr="00510AD0" w:rsidRDefault="0055205C" w:rsidP="00E57684">
      <w:pPr>
        <w:pStyle w:val="BodyTextLeft"/>
      </w:pPr>
      <w:r w:rsidRPr="00510AD0">
        <w:t xml:space="preserve">“Manager” has the meaning set forth in Section </w:t>
      </w:r>
      <w:r w:rsidR="00286173" w:rsidRPr="00510AD0">
        <w:fldChar w:fldCharType="begin"/>
      </w:r>
      <w:r w:rsidR="00286173" w:rsidRPr="00510AD0">
        <w:instrText xml:space="preserve">  REF _Ref69141796 \w \h \* MERGEFORMAT </w:instrText>
      </w:r>
      <w:r w:rsidR="00286173" w:rsidRPr="00510AD0">
        <w:fldChar w:fldCharType="separate"/>
      </w:r>
      <w:r w:rsidR="007751F5" w:rsidRPr="00510AD0">
        <w:rPr>
          <w:color w:val="000000"/>
        </w:rPr>
        <w:t>18.2(a)</w:t>
      </w:r>
      <w:r w:rsidR="00286173" w:rsidRPr="00510AD0">
        <w:fldChar w:fldCharType="end"/>
      </w:r>
      <w:r w:rsidRPr="00510AD0">
        <w:t>.</w:t>
      </w:r>
    </w:p>
    <w:p w14:paraId="30D63ACF" w14:textId="1C1AB6E3" w:rsidR="0055205C" w:rsidRPr="00510AD0" w:rsidRDefault="0055205C" w:rsidP="00E57684">
      <w:pPr>
        <w:pStyle w:val="BodyTextLeft"/>
      </w:pPr>
      <w:r w:rsidRPr="00510AD0">
        <w:t xml:space="preserve">“Marketable Emission Trading Credits” means without limitation, emissions trading credits or units pursuant to the requirements of California Health &amp; Safety Code Division </w:t>
      </w:r>
      <w:bookmarkStart w:id="867" w:name="DocXTextRef310"/>
      <w:r w:rsidRPr="00510AD0">
        <w:t>26</w:t>
      </w:r>
      <w:bookmarkEnd w:id="867"/>
      <w:r w:rsidRPr="00510AD0">
        <w:t xml:space="preserve"> Air Resources,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w:t>
      </w:r>
      <w:bookmarkStart w:id="868" w:name="DocXTextRef311"/>
      <w:r w:rsidRPr="00510AD0">
        <w:t>42</w:t>
      </w:r>
      <w:bookmarkEnd w:id="868"/>
      <w:r w:rsidRPr="00510AD0">
        <w:t xml:space="preserve"> U.S.C. § 7651b.(a) to </w:t>
      </w:r>
      <w:bookmarkStart w:id="869" w:name="DocXTextRef312"/>
      <w:r w:rsidRPr="00510AD0">
        <w:t>(f)</w:t>
      </w:r>
      <w:bookmarkEnd w:id="869"/>
      <w:r w:rsidRPr="00510AD0">
        <w:t>).</w:t>
      </w:r>
    </w:p>
    <w:p w14:paraId="47E6F03E" w14:textId="2FFF619D" w:rsidR="00DC011E" w:rsidRPr="00510AD0" w:rsidRDefault="00DC011E" w:rsidP="00E57684">
      <w:pPr>
        <w:pStyle w:val="BodyTextLeft"/>
      </w:pPr>
      <w:r w:rsidRPr="00510AD0">
        <w:t xml:space="preserve">“Material Project Modification” has the meaning set forth in Section </w:t>
      </w:r>
      <w:r w:rsidRPr="00510AD0">
        <w:fldChar w:fldCharType="begin"/>
      </w:r>
      <w:r w:rsidRPr="00510AD0">
        <w:instrText xml:space="preserve"> REF _Ref69141580 \r \h </w:instrText>
      </w:r>
      <w:r w:rsidR="00510AD0">
        <w:instrText xml:space="preserve"> \* MERGEFORMAT </w:instrText>
      </w:r>
      <w:r w:rsidRPr="00510AD0">
        <w:fldChar w:fldCharType="separate"/>
      </w:r>
      <w:r w:rsidRPr="00510AD0">
        <w:t>3.3</w:t>
      </w:r>
      <w:r w:rsidRPr="00510AD0">
        <w:fldChar w:fldCharType="end"/>
      </w:r>
      <w:r w:rsidRPr="00510AD0">
        <w:t>.</w:t>
      </w:r>
    </w:p>
    <w:p w14:paraId="259AD192" w14:textId="2F2CB8CF" w:rsidR="0055205C" w:rsidRDefault="0055205C" w:rsidP="00E57684">
      <w:pPr>
        <w:pStyle w:val="BodyTextLeft"/>
      </w:pPr>
      <w:r w:rsidRPr="00510AD0">
        <w:t xml:space="preserve">“Mechanical Completion” means that </w:t>
      </w:r>
      <w:bookmarkStart w:id="870" w:name="DocXTextRef313"/>
      <w:r w:rsidRPr="00510AD0">
        <w:t>(a)</w:t>
      </w:r>
      <w:bookmarkEnd w:id="870"/>
      <w:r w:rsidRPr="00510AD0">
        <w:t xml:space="preserve"> all components and systems of the Project have been properly constructed, installed and functionally tested according to EPC Contract requirements in a safe and prudent manner that does not void any equipment or system warranties or violate any permits, approvals or Laws; </w:t>
      </w:r>
      <w:bookmarkStart w:id="871" w:name="DocXTextRef314"/>
      <w:r w:rsidRPr="00510AD0">
        <w:t>(b)</w:t>
      </w:r>
      <w:bookmarkEnd w:id="871"/>
      <w:r w:rsidRPr="00510AD0">
        <w:t xml:space="preserve"> the Project is ready for testing and commissioning, as applicable; </w:t>
      </w:r>
      <w:bookmarkStart w:id="872" w:name="DocXTextRef315"/>
      <w:r w:rsidRPr="00510AD0">
        <w:t>(c)</w:t>
      </w:r>
      <w:bookmarkEnd w:id="872"/>
      <w:r w:rsidRPr="00510AD0">
        <w:t xml:space="preserve"> Seller has provided written acceptance to the EPC Contractor of mechanical completion as that term is specifically defined in the EPC Contract.  </w:t>
      </w:r>
    </w:p>
    <w:p w14:paraId="2C52B92B" w14:textId="77777777" w:rsidR="0084601B" w:rsidRPr="004A1B7F" w:rsidRDefault="0084601B" w:rsidP="00D36D71">
      <w:pPr>
        <w:pStyle w:val="BodyText"/>
        <w:ind w:firstLine="0"/>
      </w:pPr>
      <w:r>
        <w:t xml:space="preserve">“Maximum Cumulative Capacity” has the meaning set forth in the </w:t>
      </w:r>
      <w:r w:rsidRPr="0044025C">
        <w:t>2023 Final RA Guide</w:t>
      </w:r>
      <w:r>
        <w:t xml:space="preserve"> published by the CPUC.</w:t>
      </w:r>
    </w:p>
    <w:p w14:paraId="3F66949F" w14:textId="32DB9F9E" w:rsidR="0055205C" w:rsidRPr="00510AD0" w:rsidRDefault="0055205C" w:rsidP="00E57684">
      <w:pPr>
        <w:pStyle w:val="BodyTextLeft"/>
      </w:pPr>
      <w:r w:rsidRPr="00510AD0">
        <w:t xml:space="preserve">“Monthly Payment” has the meaning set forth in Section </w:t>
      </w:r>
      <w:r w:rsidR="00286173" w:rsidRPr="00510AD0">
        <w:fldChar w:fldCharType="begin"/>
      </w:r>
      <w:r w:rsidR="00286173" w:rsidRPr="00510AD0">
        <w:instrText xml:space="preserve">  REF _Ref69141604 \w \h \* MERGEFORMAT </w:instrText>
      </w:r>
      <w:r w:rsidR="00286173" w:rsidRPr="00510AD0">
        <w:fldChar w:fldCharType="separate"/>
      </w:r>
      <w:r w:rsidR="007751F5" w:rsidRPr="00510AD0">
        <w:rPr>
          <w:color w:val="000000"/>
        </w:rPr>
        <w:t>6.1</w:t>
      </w:r>
      <w:r w:rsidR="00286173" w:rsidRPr="00510AD0">
        <w:fldChar w:fldCharType="end"/>
      </w:r>
      <w:r w:rsidRPr="00510AD0">
        <w:t>.</w:t>
      </w:r>
    </w:p>
    <w:p w14:paraId="5D6075A5" w14:textId="1410332E" w:rsidR="0055205C" w:rsidRPr="00510AD0" w:rsidRDefault="0055205C" w:rsidP="00E57684">
      <w:pPr>
        <w:pStyle w:val="BodyTextLeft"/>
      </w:pPr>
      <w:r w:rsidRPr="00510AD0">
        <w:t xml:space="preserve">“Monthly Payment Date” has the meaning set forth in Section </w:t>
      </w:r>
      <w:r w:rsidR="00286173" w:rsidRPr="00510AD0">
        <w:fldChar w:fldCharType="begin"/>
      </w:r>
      <w:r w:rsidR="00286173" w:rsidRPr="00510AD0">
        <w:instrText xml:space="preserve">  REF _Ref69141656 \w \h \* MERGEFORMAT </w:instrText>
      </w:r>
      <w:r w:rsidR="00286173" w:rsidRPr="00510AD0">
        <w:fldChar w:fldCharType="separate"/>
      </w:r>
      <w:r w:rsidR="007751F5" w:rsidRPr="00510AD0">
        <w:rPr>
          <w:color w:val="000000"/>
        </w:rPr>
        <w:t>9.3</w:t>
      </w:r>
      <w:r w:rsidR="00286173" w:rsidRPr="00510AD0">
        <w:fldChar w:fldCharType="end"/>
      </w:r>
      <w:r w:rsidRPr="00510AD0">
        <w:t>.</w:t>
      </w:r>
    </w:p>
    <w:p w14:paraId="588E2BA2" w14:textId="77777777" w:rsidR="0055205C" w:rsidRPr="00510AD0" w:rsidRDefault="0055205C" w:rsidP="00E57684">
      <w:pPr>
        <w:pStyle w:val="BodyTextLeft"/>
      </w:pPr>
      <w:r w:rsidRPr="00510AD0">
        <w:t>“Moody’s” means Moody’s Investors Service, Inc., or its successor.</w:t>
      </w:r>
    </w:p>
    <w:p w14:paraId="612CC6E2" w14:textId="6727E2CF" w:rsidR="0055205C" w:rsidRPr="00510AD0" w:rsidRDefault="0055205C" w:rsidP="00E57684">
      <w:pPr>
        <w:pStyle w:val="BodyTextLeft"/>
      </w:pPr>
      <w:r w:rsidRPr="00510AD0">
        <w:lastRenderedPageBreak/>
        <w:t xml:space="preserve">“Must Offer Obligations” means Seller’s obligation to Bid or cause </w:t>
      </w:r>
      <w:r w:rsidR="0027520A" w:rsidRPr="00510AD0">
        <w:t xml:space="preserve">the Project’s </w:t>
      </w:r>
      <w:r w:rsidRPr="00510AD0">
        <w:t>SC to Bid the Project into the CAISO Markets due to delivery of the Product to Buyer and in accordance with the CAISO Tariff</w:t>
      </w:r>
      <w:r w:rsidR="00D22AA9" w:rsidRPr="00510AD0">
        <w:t xml:space="preserve"> or CPUC Decisions</w:t>
      </w:r>
      <w:r w:rsidRPr="00510AD0">
        <w:t>.</w:t>
      </w:r>
    </w:p>
    <w:p w14:paraId="0DD6AE90" w14:textId="77777777" w:rsidR="0055205C" w:rsidRPr="00510AD0" w:rsidRDefault="0055205C" w:rsidP="00E57684">
      <w:pPr>
        <w:pStyle w:val="BodyTextLeft"/>
      </w:pPr>
      <w:r w:rsidRPr="00510AD0">
        <w:t>“MW” means megawatts.</w:t>
      </w:r>
    </w:p>
    <w:p w14:paraId="7FF37159" w14:textId="77777777" w:rsidR="0055205C" w:rsidRPr="00510AD0" w:rsidRDefault="0055205C" w:rsidP="00E57684">
      <w:pPr>
        <w:pStyle w:val="BodyTextLeft"/>
      </w:pPr>
      <w:r w:rsidRPr="00510AD0">
        <w:t>“NERC” means the North American Electric Reliability Corporation or any successor entity performing similar functions.</w:t>
      </w:r>
    </w:p>
    <w:p w14:paraId="39505586" w14:textId="77777777" w:rsidR="0055205C" w:rsidRPr="00510AD0" w:rsidRDefault="0055205C" w:rsidP="00E57684">
      <w:pPr>
        <w:pStyle w:val="BodyTextLeft"/>
      </w:pPr>
      <w:r w:rsidRPr="00510AD0">
        <w:t>“Non-Availability Charges” has the meaning set forth in the CAISO Tariff.</w:t>
      </w:r>
    </w:p>
    <w:p w14:paraId="59EDC8A0" w14:textId="1CC54A40" w:rsidR="0055205C" w:rsidRPr="00510AD0" w:rsidRDefault="0055205C" w:rsidP="00E57684">
      <w:pPr>
        <w:pStyle w:val="BodyTextLeft"/>
      </w:pPr>
      <w:r w:rsidRPr="00510AD0">
        <w:t xml:space="preserve">“Non-Defaulting Party” has the meaning set forth in Section </w:t>
      </w:r>
      <w:r w:rsidR="00286173" w:rsidRPr="00510AD0">
        <w:fldChar w:fldCharType="begin"/>
      </w:r>
      <w:r w:rsidR="00286173" w:rsidRPr="00510AD0">
        <w:instrText xml:space="preserve">  REF _Ref69141633 \w \h \* MERGEFORMAT </w:instrText>
      </w:r>
      <w:r w:rsidR="00286173" w:rsidRPr="00510AD0">
        <w:fldChar w:fldCharType="separate"/>
      </w:r>
      <w:r w:rsidR="007751F5" w:rsidRPr="00510AD0">
        <w:rPr>
          <w:color w:val="000000"/>
        </w:rPr>
        <w:t>7.2(a)</w:t>
      </w:r>
      <w:r w:rsidR="00286173" w:rsidRPr="00510AD0">
        <w:fldChar w:fldCharType="end"/>
      </w:r>
      <w:r w:rsidRPr="00510AD0">
        <w:t>.</w:t>
      </w:r>
    </w:p>
    <w:p w14:paraId="12367EE4" w14:textId="77777777" w:rsidR="0055205C" w:rsidRPr="00510AD0" w:rsidRDefault="0055205C" w:rsidP="00E57684">
      <w:pPr>
        <w:pStyle w:val="BodyTextLeft"/>
      </w:pPr>
      <w:r w:rsidRPr="00510AD0">
        <w:t>“Non-Spinning Reserve” has the meaning set forth in the CAISO Tariff.</w:t>
      </w:r>
    </w:p>
    <w:p w14:paraId="4FAE9F5C" w14:textId="3839510D" w:rsidR="0055205C" w:rsidRPr="00510AD0" w:rsidRDefault="0055205C" w:rsidP="00E57684">
      <w:pPr>
        <w:pStyle w:val="BodyTextLeft"/>
      </w:pPr>
      <w:r w:rsidRPr="00510AD0">
        <w:t>“Notice” unless otherwise specified in this Agreement, means a written communication which is delivered by overnight courier service or electronic messaging (e</w:t>
      </w:r>
      <w:r w:rsidRPr="00510AD0">
        <w:noBreakHyphen/>
        <w:t xml:space="preserve">mail), and in the manner required by Section </w:t>
      </w:r>
      <w:r w:rsidR="00286173" w:rsidRPr="00510AD0">
        <w:fldChar w:fldCharType="begin"/>
      </w:r>
      <w:r w:rsidR="00286173" w:rsidRPr="00510AD0">
        <w:instrText xml:space="preserve">  REF _Ref69141842 \w \h \* MERGEFORMAT </w:instrText>
      </w:r>
      <w:r w:rsidR="00286173" w:rsidRPr="00510AD0">
        <w:fldChar w:fldCharType="separate"/>
      </w:r>
      <w:r w:rsidR="007751F5" w:rsidRPr="00510AD0">
        <w:rPr>
          <w:color w:val="000000"/>
        </w:rPr>
        <w:t>21.1</w:t>
      </w:r>
      <w:r w:rsidR="00286173" w:rsidRPr="00510AD0">
        <w:fldChar w:fldCharType="end"/>
      </w:r>
      <w:r w:rsidRPr="00510AD0">
        <w:t>, as applicable to a given communication.</w:t>
      </w:r>
    </w:p>
    <w:p w14:paraId="79245E8A" w14:textId="041FB771" w:rsidR="0055205C" w:rsidRPr="00510AD0" w:rsidRDefault="0055205C" w:rsidP="00E57684">
      <w:pPr>
        <w:pStyle w:val="BodyTextLeft"/>
      </w:pPr>
      <w:r w:rsidRPr="00510AD0">
        <w:t xml:space="preserve">“Notice of Claim” has the meaning set forth in Section </w:t>
      </w:r>
      <w:r w:rsidR="00286173" w:rsidRPr="00510AD0">
        <w:fldChar w:fldCharType="begin"/>
      </w:r>
      <w:r w:rsidR="00286173" w:rsidRPr="00510AD0">
        <w:instrText xml:space="preserve">  REF _Ref69141746 \w \h \* MERGEFORMAT </w:instrText>
      </w:r>
      <w:r w:rsidR="00286173" w:rsidRPr="00510AD0">
        <w:fldChar w:fldCharType="separate"/>
      </w:r>
      <w:r w:rsidR="007751F5" w:rsidRPr="00510AD0">
        <w:rPr>
          <w:color w:val="000000"/>
        </w:rPr>
        <w:t>15.3(a)</w:t>
      </w:r>
      <w:r w:rsidR="00286173" w:rsidRPr="00510AD0">
        <w:fldChar w:fldCharType="end"/>
      </w:r>
      <w:r w:rsidRPr="00510AD0">
        <w:t xml:space="preserve">. </w:t>
      </w:r>
    </w:p>
    <w:p w14:paraId="034BD756" w14:textId="77777777" w:rsidR="0055205C" w:rsidRPr="00510AD0" w:rsidRDefault="0055205C" w:rsidP="00E57684">
      <w:pPr>
        <w:pStyle w:val="BodyTextLeft"/>
      </w:pPr>
      <w:r w:rsidRPr="00510AD0">
        <w:t>“Notify” means to provide a Notice.</w:t>
      </w:r>
    </w:p>
    <w:p w14:paraId="3D4F2DE6" w14:textId="70759203" w:rsidR="0055205C" w:rsidRPr="00510AD0" w:rsidRDefault="0055205C" w:rsidP="00E57684">
      <w:pPr>
        <w:pStyle w:val="BodyTextLeft"/>
      </w:pPr>
      <w:r w:rsidRPr="00510AD0">
        <w:t xml:space="preserve">“Other Capacity Attributes” means, exclusive of </w:t>
      </w:r>
      <w:r w:rsidR="0027520A" w:rsidRPr="00510AD0">
        <w:t xml:space="preserve">System </w:t>
      </w:r>
      <w:r w:rsidRPr="00510AD0">
        <w:t xml:space="preserve">RA Attributes, Local RA Attributes and Flexible RA Attributes, any </w:t>
      </w:r>
      <w:bookmarkStart w:id="873" w:name="DocXTextRef321"/>
      <w:r w:rsidRPr="00510AD0">
        <w:t>(a)</w:t>
      </w:r>
      <w:bookmarkEnd w:id="873"/>
      <w:r w:rsidRPr="00510AD0">
        <w:t xml:space="preserve"> current or future capacity characteristics or attributes,  including the ability to generate or charge at given capacity levels, the ability to provide Ancillary Services, the ability to ramp up or down at a given rate, flexibility or dispatchability attributes, and locational attributes, as may be identified at any time during the Delivery Term by any applicable Law, or voluntary or mandatory program of any Governmental Authority or other Person; and </w:t>
      </w:r>
      <w:bookmarkStart w:id="874" w:name="DocXTextRef322"/>
      <w:r w:rsidRPr="00510AD0">
        <w:t>(b)</w:t>
      </w:r>
      <w:bookmarkEnd w:id="874"/>
      <w:r w:rsidRPr="00510AD0">
        <w:t xml:space="preserve"> certificate, tag, or credit, intended to commoditize or otherwise attribute value resulting from or associated with the characteristics set forth in subsection (a) of this definition</w:t>
      </w:r>
      <w:r w:rsidR="0086301D" w:rsidRPr="00510AD0">
        <w:t>; and (c) any accounting construct so that the characteristics or values set forth in subsections (a) or (b) hereof may be counted toward any Compliance Obligations</w:t>
      </w:r>
      <w:r w:rsidRPr="00510AD0">
        <w:t>.</w:t>
      </w:r>
    </w:p>
    <w:p w14:paraId="21A09A49" w14:textId="77777777" w:rsidR="0055205C" w:rsidRPr="00510AD0" w:rsidRDefault="0055205C" w:rsidP="00E57684">
      <w:pPr>
        <w:pStyle w:val="BodyTextLeft"/>
      </w:pPr>
      <w:r w:rsidRPr="00510AD0">
        <w:t xml:space="preserve">“Participating Transmission Owner” or “Participating TO” means an entity that </w:t>
      </w:r>
      <w:bookmarkStart w:id="875" w:name="DocXTextRef323"/>
      <w:r w:rsidRPr="00510AD0">
        <w:t>(a)</w:t>
      </w:r>
      <w:bookmarkEnd w:id="875"/>
      <w:r w:rsidRPr="00510AD0">
        <w:t xml:space="preserve"> owns, operates and maintains transmission lines and associated facilities and/or has entitlements to use certain transmission lines and associated facilities and </w:t>
      </w:r>
      <w:bookmarkStart w:id="876" w:name="DocXTextRef324"/>
      <w:r w:rsidRPr="00510AD0">
        <w:t>(b)</w:t>
      </w:r>
      <w:bookmarkEnd w:id="876"/>
      <w:r w:rsidRPr="00510AD0">
        <w:t xml:space="preserve"> has transferred to the CAISO operational control of such facilities and/or entitlements to be made part of the CAISO Grid.  </w:t>
      </w:r>
    </w:p>
    <w:p w14:paraId="294BB22C" w14:textId="77777777" w:rsidR="0055205C" w:rsidRPr="00510AD0" w:rsidRDefault="0055205C" w:rsidP="00E57684">
      <w:pPr>
        <w:pStyle w:val="BodyTextLeft"/>
      </w:pPr>
      <w:r w:rsidRPr="00510AD0">
        <w:t>“Party” or “Parties” has the meaning set forth in the preamble of this Agreement.</w:t>
      </w:r>
    </w:p>
    <w:p w14:paraId="57FEF8AE" w14:textId="08C4EECF" w:rsidR="0055205C" w:rsidRPr="00510AD0" w:rsidRDefault="0055205C" w:rsidP="00E57684">
      <w:pPr>
        <w:pStyle w:val="BodyTextLeft"/>
      </w:pPr>
      <w:r w:rsidRPr="00510AD0">
        <w:t xml:space="preserve">“Party’s Event of Default” has the meaning set forth in Section </w:t>
      </w:r>
      <w:r w:rsidR="00286173" w:rsidRPr="00510AD0">
        <w:fldChar w:fldCharType="begin"/>
      </w:r>
      <w:r w:rsidR="00286173" w:rsidRPr="00510AD0">
        <w:instrText xml:space="preserve">  REF _Ref69141625 \w \h \* MERGEFORMAT </w:instrText>
      </w:r>
      <w:r w:rsidR="00286173" w:rsidRPr="00510AD0">
        <w:fldChar w:fldCharType="separate"/>
      </w:r>
      <w:r w:rsidR="007751F5" w:rsidRPr="00510AD0">
        <w:rPr>
          <w:color w:val="000000"/>
        </w:rPr>
        <w:t>7.1(b)</w:t>
      </w:r>
      <w:r w:rsidR="00286173" w:rsidRPr="00510AD0">
        <w:fldChar w:fldCharType="end"/>
      </w:r>
      <w:r w:rsidRPr="00510AD0">
        <w:t>.</w:t>
      </w:r>
    </w:p>
    <w:p w14:paraId="6B971BFA" w14:textId="4EB07FE6" w:rsidR="0055205C" w:rsidRPr="00510AD0" w:rsidRDefault="0055205C" w:rsidP="00E57684">
      <w:pPr>
        <w:pStyle w:val="BodyTextLeft"/>
      </w:pPr>
      <w:r w:rsidRPr="00510AD0">
        <w:t xml:space="preserve">“Payment Quantity” has the meaning set forth in Section </w:t>
      </w:r>
      <w:r w:rsidR="00286173" w:rsidRPr="00510AD0">
        <w:fldChar w:fldCharType="begin"/>
      </w:r>
      <w:r w:rsidR="00286173" w:rsidRPr="00510AD0">
        <w:instrText xml:space="preserve">  REF _Ref69141575 \w \h \* MERGEFORMAT </w:instrText>
      </w:r>
      <w:r w:rsidR="00286173" w:rsidRPr="00510AD0">
        <w:fldChar w:fldCharType="separate"/>
      </w:r>
      <w:r w:rsidR="007751F5" w:rsidRPr="00510AD0">
        <w:rPr>
          <w:color w:val="000000"/>
        </w:rPr>
        <w:t>3.2(a)(iii)</w:t>
      </w:r>
      <w:r w:rsidR="00286173" w:rsidRPr="00510AD0">
        <w:fldChar w:fldCharType="end"/>
      </w:r>
      <w:r w:rsidRPr="00510AD0">
        <w:t>.</w:t>
      </w:r>
    </w:p>
    <w:p w14:paraId="1F192DD3" w14:textId="2AF7FF40" w:rsidR="0055205C" w:rsidRPr="00510AD0" w:rsidRDefault="0055205C" w:rsidP="00E57684">
      <w:pPr>
        <w:pStyle w:val="BodyTextLeft"/>
      </w:pPr>
      <w:r w:rsidRPr="00510AD0">
        <w:lastRenderedPageBreak/>
        <w:t>“Performance Assurance”</w:t>
      </w:r>
      <w:r w:rsidR="009D0A06" w:rsidRPr="00510AD0">
        <w:rPr>
          <w:rStyle w:val="FootnoteReference"/>
        </w:rPr>
        <w:footnoteReference w:id="47"/>
      </w:r>
      <w:r w:rsidRPr="00510AD0">
        <w:t xml:space="preserve"> means </w:t>
      </w:r>
      <w:r w:rsidR="0027520A" w:rsidRPr="00510AD0">
        <w:t xml:space="preserve">that collateral Seller is required to deliver to Buyer and maintain </w:t>
      </w:r>
      <w:r w:rsidRPr="00510AD0">
        <w:t xml:space="preserve">to secure Seller’s obligations under this Agreement </w:t>
      </w:r>
      <w:r w:rsidR="0027520A" w:rsidRPr="00510AD0">
        <w:t xml:space="preserve">in the form of </w:t>
      </w:r>
      <w:bookmarkStart w:id="877" w:name="DocXTextRef327"/>
      <w:r w:rsidRPr="00510AD0">
        <w:rPr>
          <w:color w:val="000000"/>
        </w:rPr>
        <w:t>(a)</w:t>
      </w:r>
      <w:bookmarkEnd w:id="877"/>
      <w:r w:rsidRPr="00510AD0">
        <w:rPr>
          <w:color w:val="000000"/>
        </w:rPr>
        <w:t xml:space="preserve"> cash via wire transfer in immediately available funds, or </w:t>
      </w:r>
      <w:bookmarkStart w:id="878" w:name="DocXTextRef328"/>
      <w:r w:rsidRPr="00510AD0">
        <w:rPr>
          <w:color w:val="000000"/>
        </w:rPr>
        <w:t>(b)</w:t>
      </w:r>
      <w:bookmarkEnd w:id="878"/>
      <w:r w:rsidRPr="00510AD0">
        <w:rPr>
          <w:color w:val="000000"/>
        </w:rPr>
        <w:t xml:space="preserve"> Letter</w:t>
      </w:r>
      <w:r w:rsidR="00253890" w:rsidRPr="00510AD0">
        <w:rPr>
          <w:color w:val="000000"/>
        </w:rPr>
        <w:t>(s)</w:t>
      </w:r>
      <w:r w:rsidRPr="00510AD0">
        <w:rPr>
          <w:color w:val="000000"/>
        </w:rPr>
        <w:t xml:space="preserve"> of Credit</w:t>
      </w:r>
      <w:r w:rsidR="00253890" w:rsidRPr="00510AD0">
        <w:rPr>
          <w:color w:val="000000"/>
        </w:rPr>
        <w:t>[</w:t>
      </w:r>
      <w:r w:rsidRPr="00510AD0">
        <w:t xml:space="preserve">, or </w:t>
      </w:r>
      <w:bookmarkStart w:id="879" w:name="DocXTextRef331"/>
      <w:r w:rsidRPr="00510AD0">
        <w:t>(c)</w:t>
      </w:r>
      <w:bookmarkEnd w:id="879"/>
      <w:r w:rsidRPr="00510AD0">
        <w:t xml:space="preserve"> a Guaranty</w:t>
      </w:r>
      <w:r w:rsidR="00253890" w:rsidRPr="00510AD0">
        <w:t>]</w:t>
      </w:r>
      <w:r w:rsidR="00253890" w:rsidRPr="00510AD0">
        <w:rPr>
          <w:rStyle w:val="FootnoteReference"/>
        </w:rPr>
        <w:footnoteReference w:id="48"/>
      </w:r>
      <w:r w:rsidRPr="00510AD0">
        <w:t>.</w:t>
      </w:r>
    </w:p>
    <w:p w14:paraId="23FFAFA0" w14:textId="77777777" w:rsidR="0055205C" w:rsidRPr="00510AD0" w:rsidRDefault="0055205C" w:rsidP="00E57684">
      <w:pPr>
        <w:pStyle w:val="BodyTextLeft"/>
      </w:pPr>
      <w:r w:rsidRPr="00510AD0">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23015AE7" w14:textId="77777777" w:rsidR="0055205C" w:rsidRPr="00510AD0" w:rsidRDefault="0055205C" w:rsidP="00E57684">
      <w:pPr>
        <w:pStyle w:val="BodyTextLeft"/>
      </w:pPr>
      <w:r w:rsidRPr="00510AD0">
        <w:t xml:space="preserve">“Person” means an individual, partnership, joint venture, corporation, limited liability company, trust, association or unincorporated organization, or any Governmental Authority. </w:t>
      </w:r>
    </w:p>
    <w:p w14:paraId="0609183A" w14:textId="77777777" w:rsidR="0055205C" w:rsidRPr="00510AD0" w:rsidRDefault="0055205C" w:rsidP="00E57684">
      <w:pPr>
        <w:pStyle w:val="BodyTextLeft"/>
      </w:pPr>
      <w:r w:rsidRPr="00510AD0">
        <w:t>“PG&amp;E” means Pacific Gas and Electric Company.</w:t>
      </w:r>
    </w:p>
    <w:p w14:paraId="25F3276A" w14:textId="77777777" w:rsidR="0055205C" w:rsidRPr="00510AD0" w:rsidRDefault="0055205C" w:rsidP="00E57684">
      <w:pPr>
        <w:pStyle w:val="BodyTextLeft"/>
      </w:pPr>
      <w:r w:rsidRPr="00510AD0">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14:paraId="7C3BC5C7" w14:textId="77777777" w:rsidR="0055205C" w:rsidRPr="00510AD0" w:rsidRDefault="0055205C" w:rsidP="00E57684">
      <w:pPr>
        <w:pStyle w:val="BodyTextLeft"/>
      </w:pPr>
      <w:r w:rsidRPr="00510AD0">
        <w:t>“PNode” or “Pricing Node” has the meaning set forth in the CAISO Tariff.</w:t>
      </w:r>
    </w:p>
    <w:p w14:paraId="1C1F4CF2" w14:textId="5B32BB22" w:rsidR="0055205C" w:rsidRPr="00510AD0" w:rsidRDefault="0055205C" w:rsidP="00E57684">
      <w:pPr>
        <w:pStyle w:val="BodyTextLeft"/>
      </w:pPr>
      <w:r w:rsidRPr="00510AD0">
        <w:t xml:space="preserve">“Product” has the meaning set forth in Section </w:t>
      </w:r>
      <w:r w:rsidR="00286173" w:rsidRPr="00510AD0">
        <w:fldChar w:fldCharType="begin"/>
      </w:r>
      <w:r w:rsidR="00286173" w:rsidRPr="00510AD0">
        <w:instrText xml:space="preserve">  REF _Ref69141570 \w \h \* MERGEFORMAT </w:instrText>
      </w:r>
      <w:r w:rsidR="00286173" w:rsidRPr="00510AD0">
        <w:fldChar w:fldCharType="separate"/>
      </w:r>
      <w:r w:rsidR="007751F5" w:rsidRPr="00510AD0">
        <w:rPr>
          <w:color w:val="000000"/>
        </w:rPr>
        <w:t>3.1</w:t>
      </w:r>
      <w:r w:rsidR="00286173" w:rsidRPr="00510AD0">
        <w:fldChar w:fldCharType="end"/>
      </w:r>
      <w:r w:rsidRPr="00510AD0">
        <w:t>.</w:t>
      </w:r>
    </w:p>
    <w:p w14:paraId="77D797E2" w14:textId="77777777" w:rsidR="0055205C" w:rsidRPr="00510AD0" w:rsidRDefault="0055205C" w:rsidP="00E57684">
      <w:pPr>
        <w:pStyle w:val="BodyTextLeft"/>
      </w:pPr>
      <w:r w:rsidRPr="00510AD0">
        <w:t xml:space="preserve">“Project” means the facility described in </w:t>
      </w:r>
      <w:r w:rsidRPr="00510AD0">
        <w:rPr>
          <w:u w:val="single"/>
        </w:rPr>
        <w:t>Appendix II</w:t>
      </w:r>
      <w:r w:rsidRPr="00510AD0">
        <w:t xml:space="preserve">, as such may be revised from time to time in accordance with this Agreement. </w:t>
      </w:r>
    </w:p>
    <w:p w14:paraId="39265863" w14:textId="77777777" w:rsidR="0055205C" w:rsidRPr="00510AD0" w:rsidRDefault="0055205C" w:rsidP="00E57684">
      <w:pPr>
        <w:pStyle w:val="BodyTextLeft"/>
      </w:pPr>
      <w:r w:rsidRPr="00510AD0">
        <w:t xml:space="preserve">“Project Company” means the owner of the Project specified in </w:t>
      </w:r>
      <w:r w:rsidRPr="00510AD0">
        <w:rPr>
          <w:u w:val="single"/>
        </w:rPr>
        <w:t>Appendix II</w:t>
      </w:r>
      <w:r w:rsidRPr="00510AD0">
        <w:t>.</w:t>
      </w:r>
    </w:p>
    <w:p w14:paraId="5A04EBFA" w14:textId="7675E58C" w:rsidR="0055205C" w:rsidRPr="00510AD0" w:rsidRDefault="0055205C" w:rsidP="00E57684">
      <w:pPr>
        <w:pStyle w:val="BodyTextLeft"/>
      </w:pPr>
      <w:r w:rsidRPr="00510AD0">
        <w:t>“Project Development Security” is the Performance Assurance required of Seller</w:t>
      </w:r>
      <w:r w:rsidR="000D1016" w:rsidRPr="00510AD0">
        <w:t>, as specified and referred to in</w:t>
      </w:r>
      <w:r w:rsidR="00D0381B" w:rsidRPr="00510AD0">
        <w:t xml:space="preserve"> </w:t>
      </w:r>
      <w:r w:rsidR="00847177" w:rsidRPr="00510AD0">
        <w:t>Section 10.4(b)(i)</w:t>
      </w:r>
      <w:r w:rsidRPr="00510AD0">
        <w:t xml:space="preserve">. </w:t>
      </w:r>
    </w:p>
    <w:p w14:paraId="02F5D79E" w14:textId="4B2A4BCF" w:rsidR="00B333D4" w:rsidRPr="004A1B7F" w:rsidRDefault="00B333D4" w:rsidP="00D36D71">
      <w:pPr>
        <w:pStyle w:val="BodyText"/>
        <w:ind w:firstLine="0"/>
      </w:pPr>
      <w:r w:rsidRPr="004A1B7F">
        <w:t xml:space="preserve">“Protocol” </w:t>
      </w:r>
      <w:bookmarkStart w:id="880" w:name="_Hlk100839584"/>
      <w:r w:rsidRPr="004A1B7F">
        <w:t>means the 202</w:t>
      </w:r>
      <w:r>
        <w:t>3</w:t>
      </w:r>
      <w:r w:rsidRPr="004A1B7F">
        <w:t xml:space="preserve"> CPE Local Resource Adequacy Request for Offers and Commitments (“RFO”) dated</w:t>
      </w:r>
      <w:r w:rsidR="008A503D">
        <w:t xml:space="preserve"> March 2</w:t>
      </w:r>
      <w:r w:rsidR="00B91F26">
        <w:t>2</w:t>
      </w:r>
      <w:r w:rsidR="008A503D">
        <w:t>, 2023</w:t>
      </w:r>
      <w:r w:rsidRPr="004A1B7F">
        <w:t>.</w:t>
      </w:r>
      <w:bookmarkEnd w:id="880"/>
    </w:p>
    <w:p w14:paraId="36AE327F" w14:textId="77777777" w:rsidR="0055205C" w:rsidRPr="00510AD0" w:rsidRDefault="0055205C" w:rsidP="00E57684">
      <w:pPr>
        <w:pStyle w:val="BodyTextLeft"/>
      </w:pPr>
      <w:r w:rsidRPr="00510AD0">
        <w:t>“Prudent Electrical Practices” means those practices, methods, codes and acts engaged in or approved by a significant portion of the electric power industry and applicable to facilities of a type comparable to the Project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53D3F2E0" w14:textId="58F60547" w:rsidR="0055205C" w:rsidRPr="00510AD0" w:rsidRDefault="0055205C" w:rsidP="00027CC8">
      <w:pPr>
        <w:pStyle w:val="BodyText"/>
      </w:pPr>
      <w:r w:rsidRPr="00510AD0">
        <w:lastRenderedPageBreak/>
        <w:t>Prudent Electrical Practices also includes taking reasonable steps or causing Project Company to take reasonable steps) to ensure that:</w:t>
      </w:r>
    </w:p>
    <w:p w14:paraId="051952D2" w14:textId="77777777" w:rsidR="0055205C" w:rsidRPr="00510AD0" w:rsidRDefault="0055205C" w:rsidP="00D26BA7">
      <w:pPr>
        <w:pStyle w:val="HeadingBody3"/>
      </w:pPr>
      <w:r w:rsidRPr="00510AD0">
        <w:t>(a)</w:t>
      </w:r>
      <w:r w:rsidRPr="00510AD0">
        <w:tab/>
        <w:t xml:space="preserve">Safeguards are implemented and maintained for the Project and at each Site and are sufficient to address reasonably foreseeable incidents; </w:t>
      </w:r>
    </w:p>
    <w:p w14:paraId="378AF4CB" w14:textId="77777777" w:rsidR="0055205C" w:rsidRPr="00510AD0" w:rsidRDefault="0055205C" w:rsidP="00D26BA7">
      <w:pPr>
        <w:pStyle w:val="HeadingBody3"/>
      </w:pPr>
      <w:r w:rsidRPr="00510AD0">
        <w:t>(b)</w:t>
      </w:r>
      <w:r w:rsidRPr="00510AD0">
        <w:tab/>
        <w:t xml:space="preserve">equipment, material, and supplies are sufficient and accessible to operate the Project safety and reliably; </w:t>
      </w:r>
    </w:p>
    <w:p w14:paraId="68DDD38E" w14:textId="77777777" w:rsidR="0055205C" w:rsidRPr="00510AD0" w:rsidRDefault="0055205C" w:rsidP="00D26BA7">
      <w:pPr>
        <w:pStyle w:val="HeadingBody3"/>
      </w:pPr>
      <w:r w:rsidRPr="00510AD0">
        <w:t>(c)</w:t>
      </w:r>
      <w:r w:rsidRPr="00510AD0">
        <w:tab/>
        <w:t>operating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2109D730" w14:textId="77777777" w:rsidR="0055205C" w:rsidRPr="00510AD0" w:rsidRDefault="0055205C" w:rsidP="00D26BA7">
      <w:pPr>
        <w:pStyle w:val="HeadingBody3"/>
      </w:pPr>
      <w:r w:rsidRPr="00510AD0">
        <w:t>(d)</w:t>
      </w:r>
      <w:r w:rsidRPr="00510AD0">
        <w:tab/>
        <w:t>the Project’s material components and control systems are designed, manufactured, and configured to meet the standard of durability and safety generally used for electric power and/or facilities similar to the Project operating in the relevant region; and</w:t>
      </w:r>
    </w:p>
    <w:p w14:paraId="119115CC" w14:textId="77777777" w:rsidR="0055205C" w:rsidRPr="00510AD0" w:rsidRDefault="0055205C" w:rsidP="00D26BA7">
      <w:pPr>
        <w:pStyle w:val="HeadingBody3"/>
      </w:pPr>
      <w:r w:rsidRPr="00510AD0">
        <w:t>(e)</w:t>
      </w:r>
      <w:r w:rsidRPr="00510AD0">
        <w:tab/>
        <w:t>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05FDDFEC" w14:textId="05044954" w:rsidR="0055205C" w:rsidRPr="00510AD0" w:rsidRDefault="0055205C" w:rsidP="00D26BA7">
      <w:pPr>
        <w:pStyle w:val="BodyTextLeft"/>
      </w:pPr>
      <w:r w:rsidRPr="00510AD0">
        <w:t>“RA Attributes” means, any and all resource adequacy attributes, including Local RA Attributes but exclusive of any Flexible RA Attributes or Other Capacity Attributes, as may be identified at any time during the Delivery Term by the CPUC, CAISO or other Governmental Authority having jurisdiction, that can be counted toward RAR</w:t>
      </w:r>
      <w:r w:rsidR="00847177" w:rsidRPr="00510AD0">
        <w:t xml:space="preserve"> and Local RAR</w:t>
      </w:r>
      <w:r w:rsidRPr="00510AD0">
        <w:t xml:space="preserve">. </w:t>
      </w:r>
    </w:p>
    <w:p w14:paraId="778405AC" w14:textId="327F3766" w:rsidR="0055205C" w:rsidRPr="00510AD0" w:rsidRDefault="0055205C" w:rsidP="00D26BA7">
      <w:pPr>
        <w:pStyle w:val="BodyTextLeft"/>
      </w:pPr>
      <w:r w:rsidRPr="00510AD0">
        <w:t xml:space="preserve">“Referral Date” has the meaning set forth in Section </w:t>
      </w:r>
      <w:r w:rsidR="00286173" w:rsidRPr="00510AD0">
        <w:fldChar w:fldCharType="begin"/>
      </w:r>
      <w:r w:rsidR="00286173" w:rsidRPr="00510AD0">
        <w:instrText xml:space="preserve">  REF _Ref69141796 \w \h \* MERGEFORMAT </w:instrText>
      </w:r>
      <w:r w:rsidR="00286173" w:rsidRPr="00510AD0">
        <w:fldChar w:fldCharType="separate"/>
      </w:r>
      <w:r w:rsidR="007751F5" w:rsidRPr="00510AD0">
        <w:rPr>
          <w:color w:val="000000"/>
        </w:rPr>
        <w:t>18.2(a)</w:t>
      </w:r>
      <w:r w:rsidR="00286173" w:rsidRPr="00510AD0">
        <w:fldChar w:fldCharType="end"/>
      </w:r>
      <w:r w:rsidRPr="00510AD0">
        <w:t>.</w:t>
      </w:r>
    </w:p>
    <w:p w14:paraId="1EDA8661" w14:textId="77777777" w:rsidR="0055205C" w:rsidRPr="00510AD0" w:rsidRDefault="0055205C" w:rsidP="00D26BA7">
      <w:pPr>
        <w:pStyle w:val="BodyTextLeft"/>
      </w:pPr>
      <w:r w:rsidRPr="00510AD0">
        <w:t>“Regulation Down” has the meaning set forth in the CAISO Tariff.</w:t>
      </w:r>
    </w:p>
    <w:p w14:paraId="40620A7C" w14:textId="77777777" w:rsidR="0055205C" w:rsidRPr="00510AD0" w:rsidRDefault="0055205C" w:rsidP="00D26BA7">
      <w:pPr>
        <w:pStyle w:val="BodyTextLeft"/>
      </w:pPr>
      <w:r w:rsidRPr="00510AD0">
        <w:t>“Regulation Up” has the meaning set forth in the CAISO Tariff.</w:t>
      </w:r>
    </w:p>
    <w:p w14:paraId="0C390952" w14:textId="73508419" w:rsidR="0055205C" w:rsidRPr="00510AD0" w:rsidRDefault="0055205C" w:rsidP="00D26BA7">
      <w:pPr>
        <w:pStyle w:val="BodyTextLeft"/>
      </w:pPr>
      <w:r w:rsidRPr="00510AD0">
        <w:t xml:space="preserve">“Regulatory Disclosure” has the meaning set forth in Section </w:t>
      </w:r>
      <w:bookmarkStart w:id="881" w:name="DocXTextRef337"/>
      <w:r w:rsidR="0032688A" w:rsidRPr="00510AD0">
        <w:fldChar w:fldCharType="begin"/>
      </w:r>
      <w:r w:rsidR="0032688A" w:rsidRPr="00510AD0">
        <w:instrText xml:space="preserve"> REF _Ref69142693 \r \h </w:instrText>
      </w:r>
      <w:r w:rsidR="00510AD0">
        <w:instrText xml:space="preserve"> \* MERGEFORMAT </w:instrText>
      </w:r>
      <w:r w:rsidR="0032688A" w:rsidRPr="00510AD0">
        <w:fldChar w:fldCharType="separate"/>
      </w:r>
      <w:r w:rsidR="007751F5" w:rsidRPr="00510AD0">
        <w:t>19.2</w:t>
      </w:r>
      <w:r w:rsidR="0032688A" w:rsidRPr="00510AD0">
        <w:fldChar w:fldCharType="end"/>
      </w:r>
      <w:r w:rsidRPr="00510AD0">
        <w:t>(i)</w:t>
      </w:r>
      <w:bookmarkEnd w:id="881"/>
      <w:r w:rsidRPr="00510AD0">
        <w:t>.</w:t>
      </w:r>
    </w:p>
    <w:p w14:paraId="03275334" w14:textId="77777777" w:rsidR="0055205C" w:rsidRPr="00510AD0" w:rsidRDefault="0055205C" w:rsidP="00D26BA7">
      <w:pPr>
        <w:pStyle w:val="BodyTextLeft"/>
      </w:pPr>
      <w:r w:rsidRPr="00510AD0">
        <w:t xml:space="preserve">“Reliability Organization” means an “Electric Reliability Organization” as defined in Section 215(a)(2) of the Federal Power Act or a “regional entity” as defined in Section 215(a)(7) of the Federal Power Act. </w:t>
      </w:r>
    </w:p>
    <w:p w14:paraId="49218BC2" w14:textId="16A278FE" w:rsidR="0055205C" w:rsidRPr="00510AD0" w:rsidRDefault="0055205C" w:rsidP="00D26BA7">
      <w:pPr>
        <w:pStyle w:val="BodyTextLeft"/>
      </w:pPr>
      <w:r w:rsidRPr="00510AD0">
        <w:t xml:space="preserve">“Replacement Damages” have the meaning set forth in Section </w:t>
      </w:r>
      <w:r w:rsidR="00286173" w:rsidRPr="00510AD0">
        <w:fldChar w:fldCharType="begin"/>
      </w:r>
      <w:r w:rsidR="00286173" w:rsidRPr="00510AD0">
        <w:instrText xml:space="preserve">  REF _Ref69141602 \w \h \* MERGEFORMAT </w:instrText>
      </w:r>
      <w:r w:rsidR="00286173" w:rsidRPr="00510AD0">
        <w:fldChar w:fldCharType="separate"/>
      </w:r>
      <w:r w:rsidR="007751F5" w:rsidRPr="00510AD0">
        <w:rPr>
          <w:color w:val="000000"/>
        </w:rPr>
        <w:t>5.2</w:t>
      </w:r>
      <w:r w:rsidR="00286173" w:rsidRPr="00510AD0">
        <w:fldChar w:fldCharType="end"/>
      </w:r>
      <w:r w:rsidRPr="00510AD0">
        <w:t>.</w:t>
      </w:r>
    </w:p>
    <w:p w14:paraId="26FB5DE8" w14:textId="77777777" w:rsidR="0055205C" w:rsidRPr="00510AD0" w:rsidRDefault="0055205C" w:rsidP="00D26BA7">
      <w:pPr>
        <w:pStyle w:val="BodyTextLeft"/>
      </w:pPr>
      <w:r w:rsidRPr="00510AD0">
        <w:t>“Residual Unit Commitment” or “RUC” has the meaning set forth in the CAISO Tariff.</w:t>
      </w:r>
    </w:p>
    <w:p w14:paraId="144E4B40" w14:textId="77777777" w:rsidR="0055205C" w:rsidRPr="00510AD0" w:rsidRDefault="0055205C" w:rsidP="00D26BA7">
      <w:pPr>
        <w:pStyle w:val="BodyTextLeft"/>
      </w:pPr>
      <w:r w:rsidRPr="00510AD0">
        <w:t>“Residual Unit Commitment (RUC) Availability Payments” has the meaning set forth in the CAISO Tariff.</w:t>
      </w:r>
    </w:p>
    <w:p w14:paraId="1AA9920C" w14:textId="48EDA14E" w:rsidR="0055205C" w:rsidRPr="00510AD0" w:rsidRDefault="0055205C" w:rsidP="00D26BA7">
      <w:pPr>
        <w:pStyle w:val="BodyTextLeft"/>
      </w:pPr>
      <w:r w:rsidRPr="00510AD0">
        <w:t xml:space="preserve">“Resold Product” has the meaning set forth in Section </w:t>
      </w:r>
      <w:r w:rsidR="00286173" w:rsidRPr="00510AD0">
        <w:fldChar w:fldCharType="begin"/>
      </w:r>
      <w:r w:rsidR="00286173" w:rsidRPr="00510AD0">
        <w:instrText xml:space="preserve">  REF _Ref69141572 \w \h \* MERGEFORMAT </w:instrText>
      </w:r>
      <w:r w:rsidR="00286173" w:rsidRPr="00510AD0">
        <w:fldChar w:fldCharType="separate"/>
      </w:r>
      <w:r w:rsidR="007751F5" w:rsidRPr="00510AD0">
        <w:rPr>
          <w:color w:val="000000"/>
        </w:rPr>
        <w:t>3.2(a)</w:t>
      </w:r>
      <w:r w:rsidR="00286173" w:rsidRPr="00510AD0">
        <w:fldChar w:fldCharType="end"/>
      </w:r>
      <w:r w:rsidRPr="00510AD0">
        <w:t>.</w:t>
      </w:r>
    </w:p>
    <w:p w14:paraId="765487E2" w14:textId="18979763" w:rsidR="0055205C" w:rsidRPr="00510AD0" w:rsidRDefault="0055205C" w:rsidP="00D26BA7">
      <w:pPr>
        <w:pStyle w:val="BodyTextLeft"/>
      </w:pPr>
      <w:bookmarkStart w:id="882" w:name="_Hlk65070184"/>
      <w:r w:rsidRPr="00510AD0">
        <w:lastRenderedPageBreak/>
        <w:t>“Resource Adequacy”</w:t>
      </w:r>
      <w:r w:rsidRPr="00510AD0">
        <w:rPr>
          <w:w w:val="0"/>
        </w:rPr>
        <w:t xml:space="preserve"> means the procurement obligations described in the </w:t>
      </w:r>
      <w:r w:rsidR="008D3BA7" w:rsidRPr="00510AD0">
        <w:rPr>
          <w:w w:val="0"/>
        </w:rPr>
        <w:t>Local RA Central Procurement Decisions</w:t>
      </w:r>
      <w:r w:rsidRPr="00510AD0">
        <w:rPr>
          <w:w w:val="0"/>
        </w:rPr>
        <w:t xml:space="preserve"> </w:t>
      </w:r>
      <w:r w:rsidRPr="00510AD0">
        <w:t>and</w:t>
      </w:r>
      <w:r w:rsidRPr="00510AD0">
        <w:rPr>
          <w:w w:val="0"/>
        </w:rPr>
        <w:t xml:space="preserve"> other CPUC Decisions addressing Resource Adequacy issues, as those obligations may be altered from time to time, and all other capacity procurement obligations established by any other entity, including the CAISO</w:t>
      </w:r>
      <w:r w:rsidRPr="00510AD0">
        <w:t>.</w:t>
      </w:r>
      <w:r w:rsidRPr="00510AD0">
        <w:rPr>
          <w:b/>
          <w:color w:val="FF0000"/>
          <w:u w:val="single"/>
        </w:rPr>
        <w:t xml:space="preserve"> </w:t>
      </w:r>
    </w:p>
    <w:bookmarkEnd w:id="882"/>
    <w:p w14:paraId="23EDEBC7" w14:textId="77777777" w:rsidR="0055205C" w:rsidRPr="00510AD0" w:rsidRDefault="0055205C" w:rsidP="00D26BA7">
      <w:pPr>
        <w:pStyle w:val="BodyTextLeft"/>
      </w:pPr>
      <w:r w:rsidRPr="00510AD0">
        <w:t>“Resource Adequacy Plan” has the meaning set forth in the CAISO Tariff.</w:t>
      </w:r>
    </w:p>
    <w:p w14:paraId="797B02BD" w14:textId="77777777" w:rsidR="0055205C" w:rsidRPr="00510AD0" w:rsidRDefault="0055205C" w:rsidP="00D26BA7">
      <w:pPr>
        <w:pStyle w:val="BodyTextLeft"/>
      </w:pPr>
      <w:r w:rsidRPr="00510AD0">
        <w:t>“Resource Adequacy Requirement” or “RAR” means the Resource Adequacy or successor program requirements established by the CPUC, CAISO or any other regional entity, including submission of a Supply Plan or Resource Adequacy Plan.</w:t>
      </w:r>
    </w:p>
    <w:p w14:paraId="7F24F781" w14:textId="77777777" w:rsidR="0055205C" w:rsidRPr="00510AD0" w:rsidRDefault="0055205C" w:rsidP="00D26BA7">
      <w:pPr>
        <w:pStyle w:val="BodyTextLeft"/>
      </w:pPr>
      <w:r w:rsidRPr="00510AD0">
        <w:t>“RMR” means “Reliability Must-Run” and has the meaning set forth in, and as used in, the CAISO Tariff.</w:t>
      </w:r>
    </w:p>
    <w:p w14:paraId="483810F7" w14:textId="77777777" w:rsidR="0055205C" w:rsidRPr="00510AD0" w:rsidRDefault="0055205C" w:rsidP="00D26BA7">
      <w:pPr>
        <w:pStyle w:val="BodyTextLeft"/>
      </w:pPr>
      <w:r w:rsidRPr="00510AD0">
        <w:t>“RMR Contract” has the meaning set forth in the CAISO Tariff.</w:t>
      </w:r>
    </w:p>
    <w:p w14:paraId="29EFAC5F" w14:textId="77777777" w:rsidR="0055205C" w:rsidRPr="00510AD0" w:rsidRDefault="0055205C" w:rsidP="00D26BA7">
      <w:pPr>
        <w:pStyle w:val="BodyTextLeft"/>
      </w:pPr>
      <w:r w:rsidRPr="00510AD0">
        <w:t>“RMR Generation” has the meaning set forth in the CAISO Tariff.</w:t>
      </w:r>
    </w:p>
    <w:p w14:paraId="6AB48DC7" w14:textId="77777777" w:rsidR="0055205C" w:rsidRPr="00510AD0" w:rsidRDefault="0055205C" w:rsidP="00D26BA7">
      <w:pPr>
        <w:pStyle w:val="BodyTextLeft"/>
      </w:pPr>
      <w:r w:rsidRPr="00510AD0">
        <w:t>“S&amp;P” means Standard and Poor’s Financial Services, LLC (a subsidiary of The McGraw-Hill Companies, Inc.) or its successor.</w:t>
      </w:r>
    </w:p>
    <w:p w14:paraId="2BB00042" w14:textId="77777777" w:rsidR="0055205C" w:rsidRPr="00510AD0" w:rsidRDefault="0055205C" w:rsidP="00D26BA7">
      <w:pPr>
        <w:pStyle w:val="BodyTextLeft"/>
      </w:pPr>
      <w:r w:rsidRPr="00510AD0">
        <w:t>“Safeguard” means any procedures, practices, or actions with respect to the Project, a Site or Work for the purpose of preventing, mitigating, or containing foreseeable accidents, injuries, damage, release of hazardous material or environmental harm.</w:t>
      </w:r>
    </w:p>
    <w:p w14:paraId="0D094AFE" w14:textId="3AE0934D" w:rsidR="0055205C" w:rsidRPr="00510AD0" w:rsidRDefault="0055205C" w:rsidP="00D26BA7">
      <w:pPr>
        <w:pStyle w:val="BodyTextLeft"/>
      </w:pPr>
      <w:r w:rsidRPr="00510AD0">
        <w:t xml:space="preserve">“Safety Requirements” means </w:t>
      </w:r>
      <w:r w:rsidR="00D705A4" w:rsidRPr="00510AD0">
        <w:t xml:space="preserve">Prudent Electrical Practices, CPUC General Order No. 167, and all applicable requirements of Law, PG&amp;E, the Utility Distribution Company, the Transmission Provider, Governmental Approvals, the CAISO, CARB, NERC and </w:t>
      </w:r>
      <w:r w:rsidRPr="00510AD0">
        <w:t>WECC.</w:t>
      </w:r>
    </w:p>
    <w:p w14:paraId="388EAEAB" w14:textId="60808926" w:rsidR="0055205C" w:rsidRPr="00510AD0" w:rsidRDefault="0055205C" w:rsidP="00D26BA7">
      <w:pPr>
        <w:pStyle w:val="BodyTextLeft"/>
      </w:pPr>
      <w:r w:rsidRPr="00510AD0">
        <w:t>“Scheduling Coordinator” or “SC” has the meaning set forth the CAISO Tariff.  Under the terms of this Agreement, the SC may be Seller, the Project Company or Seller’s or Project Company’s designated agent (i.e., a third-party).</w:t>
      </w:r>
    </w:p>
    <w:p w14:paraId="54CF9908" w14:textId="77777777" w:rsidR="0055205C" w:rsidRPr="00510AD0" w:rsidRDefault="0055205C" w:rsidP="00D26BA7">
      <w:pPr>
        <w:pStyle w:val="BodyTextLeft"/>
      </w:pPr>
      <w:r w:rsidRPr="00510AD0">
        <w:t>“SEC” means the U.S. Securities and Exchange Commission, or any successor entity performing similar functions.</w:t>
      </w:r>
    </w:p>
    <w:p w14:paraId="3B2EA99D" w14:textId="77777777" w:rsidR="0055205C" w:rsidRPr="00510AD0" w:rsidRDefault="0055205C" w:rsidP="00D26BA7">
      <w:pPr>
        <w:pStyle w:val="BodyTextLeft"/>
      </w:pPr>
      <w:r w:rsidRPr="00510AD0">
        <w:t>“Seller” is the entity named in the preamble to this Agreement.</w:t>
      </w:r>
    </w:p>
    <w:p w14:paraId="232FBA09" w14:textId="68BCF14F" w:rsidR="00847177" w:rsidRPr="00510AD0" w:rsidRDefault="00847177" w:rsidP="00D26BA7">
      <w:pPr>
        <w:pStyle w:val="BodyTextLeft"/>
      </w:pPr>
      <w:r w:rsidRPr="00510AD0">
        <w:t>“Seller’s Collateral Threshold” has the meaning set forth in Section 10.4(a).</w:t>
      </w:r>
    </w:p>
    <w:p w14:paraId="5E3DFD5B" w14:textId="77777777" w:rsidR="0055205C" w:rsidRPr="00510AD0" w:rsidRDefault="0055205C" w:rsidP="00D26BA7">
      <w:pPr>
        <w:pStyle w:val="BodyTextLeft"/>
      </w:pPr>
      <w:r w:rsidRPr="00510AD0">
        <w:t>“Seller Group” means Seller, its directors, officers, agents, attorneys, representatives and Affiliates.</w:t>
      </w:r>
    </w:p>
    <w:p w14:paraId="0B2D81A0" w14:textId="69D5D06A" w:rsidR="0055205C" w:rsidRPr="00510AD0" w:rsidRDefault="0055205C" w:rsidP="00D26BA7">
      <w:pPr>
        <w:pStyle w:val="BodyTextLeft"/>
      </w:pPr>
      <w:r w:rsidRPr="00510AD0">
        <w:t xml:space="preserve">“Seller’s Event of Default” has the meaning set forth in Section </w:t>
      </w:r>
      <w:r w:rsidR="00286173" w:rsidRPr="00510AD0">
        <w:fldChar w:fldCharType="begin"/>
      </w:r>
      <w:r w:rsidR="00286173" w:rsidRPr="00510AD0">
        <w:instrText xml:space="preserve">  REF _Ref69141613 \w \h \* MERGEFORMAT </w:instrText>
      </w:r>
      <w:r w:rsidR="00286173" w:rsidRPr="00510AD0">
        <w:fldChar w:fldCharType="separate"/>
      </w:r>
      <w:r w:rsidR="007751F5" w:rsidRPr="00510AD0">
        <w:rPr>
          <w:color w:val="000000"/>
        </w:rPr>
        <w:t>7.1(a)</w:t>
      </w:r>
      <w:r w:rsidR="00286173" w:rsidRPr="00510AD0">
        <w:fldChar w:fldCharType="end"/>
      </w:r>
      <w:r w:rsidRPr="00510AD0">
        <w:t>.</w:t>
      </w:r>
    </w:p>
    <w:p w14:paraId="6BD28A60" w14:textId="77777777" w:rsidR="0055205C" w:rsidRPr="00510AD0" w:rsidRDefault="0055205C" w:rsidP="00D26BA7">
      <w:pPr>
        <w:pStyle w:val="BodyTextLeft"/>
      </w:pPr>
      <w:r w:rsidRPr="00510AD0">
        <w:t>“Seller’s Parent” means any entity or Person that directly holds fifty percent (50%) or more of the equity interests in Seller.</w:t>
      </w:r>
    </w:p>
    <w:p w14:paraId="3E1A6613" w14:textId="77777777" w:rsidR="0055205C" w:rsidRPr="00510AD0" w:rsidRDefault="0055205C" w:rsidP="00D26BA7">
      <w:pPr>
        <w:pStyle w:val="BodyTextLeft"/>
        <w:rPr>
          <w:u w:val="single"/>
        </w:rPr>
      </w:pPr>
      <w:r w:rsidRPr="00510AD0">
        <w:lastRenderedPageBreak/>
        <w:t xml:space="preserve">“Seller Supply Agreement” means the agreement between Seller and the Project Company identified on </w:t>
      </w:r>
      <w:r w:rsidRPr="00510AD0">
        <w:rPr>
          <w:u w:val="single"/>
        </w:rPr>
        <w:t>Appendix II</w:t>
      </w:r>
      <w:r w:rsidRPr="00510AD0">
        <w:t xml:space="preserve"> </w:t>
      </w:r>
      <w:bookmarkStart w:id="883" w:name="_Hlk64993620"/>
      <w:r w:rsidRPr="00510AD0">
        <w:t>pursuant to which the Project Company has agreed to sell, and the Seller has agreed to purchase, among other things, the Product from the Project.</w:t>
      </w:r>
      <w:bookmarkEnd w:id="883"/>
    </w:p>
    <w:p w14:paraId="589E2FDF" w14:textId="77777777" w:rsidR="0055205C" w:rsidRPr="00510AD0" w:rsidRDefault="0055205C" w:rsidP="00D26BA7">
      <w:pPr>
        <w:pStyle w:val="BodyTextLeft"/>
      </w:pPr>
      <w:r w:rsidRPr="00510AD0">
        <w:t>“Service Territory” means the geographic area within which PG&amp;E as a Utility Distribution Company is authorized and required to provide electric transmission and distribution service.</w:t>
      </w:r>
    </w:p>
    <w:p w14:paraId="479F5035" w14:textId="77777777" w:rsidR="0055205C" w:rsidRPr="00510AD0" w:rsidRDefault="0055205C" w:rsidP="00D26BA7">
      <w:pPr>
        <w:pStyle w:val="BodyTextLeft"/>
      </w:pPr>
      <w:r w:rsidRPr="00510AD0">
        <w:t xml:space="preserve">“Settlement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Settlement Amount is expressed in U.S. dollars and will never be less than zero.  If the Non-Defaulting Party’s aggregate Gains exceed its aggregate Losses and Costs, if any, resulting from the termination of this Agreement, the Settlement Amount will be zero. </w:t>
      </w:r>
    </w:p>
    <w:p w14:paraId="45D4E50F" w14:textId="77777777" w:rsidR="0055205C" w:rsidRPr="00510AD0" w:rsidRDefault="0055205C" w:rsidP="00D26BA7">
      <w:pPr>
        <w:pStyle w:val="BodyTextLeft"/>
      </w:pPr>
      <w:r w:rsidRPr="00510AD0">
        <w:t>“Settlement Period” has the meaning set forth in the CAISO Tariff.</w:t>
      </w:r>
    </w:p>
    <w:p w14:paraId="13644831" w14:textId="5CEB381B" w:rsidR="0055205C" w:rsidRPr="00510AD0" w:rsidRDefault="0055205C" w:rsidP="00D26BA7">
      <w:pPr>
        <w:pStyle w:val="BodyTextLeft"/>
      </w:pPr>
      <w:r w:rsidRPr="00510AD0">
        <w:t xml:space="preserve">“Shortfall” has the meaning set forth in Section </w:t>
      </w:r>
      <w:r w:rsidR="00286173" w:rsidRPr="00510AD0">
        <w:fldChar w:fldCharType="begin"/>
      </w:r>
      <w:r w:rsidR="00286173" w:rsidRPr="00510AD0">
        <w:instrText xml:space="preserve">  REF _Ref69141602 \w \h \* MERGEFORMAT </w:instrText>
      </w:r>
      <w:r w:rsidR="00286173" w:rsidRPr="00510AD0">
        <w:fldChar w:fldCharType="separate"/>
      </w:r>
      <w:r w:rsidR="007751F5" w:rsidRPr="00510AD0">
        <w:rPr>
          <w:color w:val="000000"/>
        </w:rPr>
        <w:t>5.2</w:t>
      </w:r>
      <w:r w:rsidR="00286173" w:rsidRPr="00510AD0">
        <w:fldChar w:fldCharType="end"/>
      </w:r>
      <w:r w:rsidRPr="00510AD0">
        <w:t>.</w:t>
      </w:r>
    </w:p>
    <w:p w14:paraId="09324E2E" w14:textId="591C771A" w:rsidR="0055205C" w:rsidRPr="00510AD0" w:rsidRDefault="0055205C" w:rsidP="00D26BA7">
      <w:pPr>
        <w:pStyle w:val="BodyTextLeft"/>
      </w:pPr>
      <w:r w:rsidRPr="00510AD0">
        <w:t>“Showing Month” incorporates each day of each calendar month of the Delivery Term that is the subject of the</w:t>
      </w:r>
      <w:r w:rsidR="00847177" w:rsidRPr="00510AD0">
        <w:t xml:space="preserve"> related</w:t>
      </w:r>
      <w:r w:rsidRPr="00510AD0">
        <w:t xml:space="preserve"> Compliance Showings, as set forth in the CPUC Decisions and </w:t>
      </w:r>
      <w:r w:rsidR="00847177" w:rsidRPr="00510AD0">
        <w:t xml:space="preserve">outlined in </w:t>
      </w:r>
      <w:r w:rsidRPr="00510AD0">
        <w:t>the CAISO Tariff.  For illustrative purposes only, pursuant to the CPUC Decisions and CAISO Tariff in effect as of the Execution Date, the monthly Compliance Showings made in June are for the Showing Month of August.</w:t>
      </w:r>
    </w:p>
    <w:p w14:paraId="69EDEE09" w14:textId="08CBF93E" w:rsidR="0055205C" w:rsidRPr="00510AD0" w:rsidRDefault="0055205C" w:rsidP="00D26BA7">
      <w:pPr>
        <w:pStyle w:val="BodyTextLeft"/>
      </w:pPr>
      <w:r w:rsidRPr="00510AD0">
        <w:t>“Showing Year” incorporates each day of each calendar month of each year of the Delivery Term that is the subject of the</w:t>
      </w:r>
      <w:r w:rsidR="00847177" w:rsidRPr="00510AD0">
        <w:t xml:space="preserve"> related</w:t>
      </w:r>
      <w:r w:rsidRPr="00510AD0">
        <w:t xml:space="preserve"> Compliance Showings, as set forth in the CPUC Decisions and </w:t>
      </w:r>
      <w:r w:rsidR="00847177" w:rsidRPr="00510AD0">
        <w:t xml:space="preserve">outlined in </w:t>
      </w:r>
      <w:r w:rsidRPr="00510AD0">
        <w:t xml:space="preserve">the CAISO Tariff.  For illustrative purposes only, pursuant to the CPUC Decisions and the CAISO Tariff in effect as of the Execution Date, the multi-year annual Compliance Showing made in </w:t>
      </w:r>
      <w:r w:rsidR="00574561" w:rsidRPr="00510AD0">
        <w:t>August</w:t>
      </w:r>
      <w:r w:rsidRPr="00510AD0">
        <w:t xml:space="preserve"> by the CPE is for the three (3) year forward, multi-year Local RA compliance showing for the CPUC and the twelve </w:t>
      </w:r>
      <w:bookmarkStart w:id="884" w:name="DocXTextRef360"/>
      <w:r w:rsidRPr="00510AD0">
        <w:t>(12)</w:t>
      </w:r>
      <w:bookmarkEnd w:id="884"/>
      <w:r w:rsidRPr="00510AD0">
        <w:t xml:space="preserve"> Showing Months of the following year for the CAISO.</w:t>
      </w:r>
    </w:p>
    <w:p w14:paraId="67D1B95E" w14:textId="4B1206F9" w:rsidR="0055205C" w:rsidRPr="00510AD0" w:rsidRDefault="0055205C" w:rsidP="00D26BA7">
      <w:pPr>
        <w:pStyle w:val="BodyTextLeft"/>
      </w:pPr>
      <w:r w:rsidRPr="00510AD0">
        <w:t xml:space="preserve">“Site(s)” means the real property on which the Project is located, as identified in </w:t>
      </w:r>
      <w:r w:rsidRPr="00510AD0">
        <w:rPr>
          <w:u w:val="single"/>
        </w:rPr>
        <w:t>Appendix II</w:t>
      </w:r>
      <w:r w:rsidR="004A364C" w:rsidRPr="00510AD0">
        <w:rPr>
          <w:u w:val="single"/>
        </w:rPr>
        <w:t>[</w:t>
      </w:r>
      <w:r w:rsidRPr="00510AD0">
        <w:t xml:space="preserve">; in the case of Bind the Meter Project, “Site” means each individual real property of each Customer on which a Unit of the Project is located, as identified in </w:t>
      </w:r>
      <w:r w:rsidRPr="00510AD0">
        <w:rPr>
          <w:u w:val="single"/>
        </w:rPr>
        <w:t>Appendix II-C</w:t>
      </w:r>
      <w:r w:rsidRPr="00510AD0">
        <w:t xml:space="preserve"> as further updated by Seller pursuant to Part </w:t>
      </w:r>
      <w:bookmarkStart w:id="885" w:name="DocXTextRef361"/>
      <w:r w:rsidRPr="00510AD0">
        <w:t>3</w:t>
      </w:r>
      <w:bookmarkEnd w:id="885"/>
      <w:r w:rsidRPr="00510AD0">
        <w:t xml:space="preserve"> clause (e) of </w:t>
      </w:r>
      <w:r w:rsidRPr="00510AD0">
        <w:rPr>
          <w:u w:val="single"/>
        </w:rPr>
        <w:t>Appendix XIV</w:t>
      </w:r>
      <w:r w:rsidR="00AC23B3" w:rsidRPr="00510AD0">
        <w:rPr>
          <w:u w:val="single"/>
        </w:rPr>
        <w:t>]</w:t>
      </w:r>
      <w:r w:rsidRPr="00510AD0">
        <w:t>.</w:t>
      </w:r>
      <w:r w:rsidR="002A0256" w:rsidRPr="00510AD0">
        <w:rPr>
          <w:rStyle w:val="FootnoteReference"/>
        </w:rPr>
        <w:footnoteReference w:id="49"/>
      </w:r>
    </w:p>
    <w:p w14:paraId="73C12CC7" w14:textId="77777777" w:rsidR="0055205C" w:rsidRPr="00510AD0" w:rsidRDefault="0055205C" w:rsidP="00D26BA7">
      <w:pPr>
        <w:pStyle w:val="BodyTextLeft"/>
      </w:pPr>
      <w:r w:rsidRPr="00510AD0">
        <w:t xml:space="preserve">“Spinning Reserve” has the meaning set forth in the CAISO Tariff. </w:t>
      </w:r>
    </w:p>
    <w:p w14:paraId="54DFC222" w14:textId="57E913FE" w:rsidR="0055205C" w:rsidRPr="00510AD0" w:rsidRDefault="0055205C" w:rsidP="00D26BA7">
      <w:pPr>
        <w:pStyle w:val="BodyTextLeft"/>
      </w:pPr>
      <w:r w:rsidRPr="00510AD0">
        <w:t xml:space="preserve">“Substitute Bank Period” has the meaning set forth in Section </w:t>
      </w:r>
      <w:r w:rsidR="00286173" w:rsidRPr="00510AD0">
        <w:fldChar w:fldCharType="begin"/>
      </w:r>
      <w:r w:rsidR="00286173" w:rsidRPr="00510AD0">
        <w:instrText xml:space="preserve">  REF _Ref69141678 \w \h \* MERGEFORMAT </w:instrText>
      </w:r>
      <w:r w:rsidR="00286173" w:rsidRPr="00510AD0">
        <w:fldChar w:fldCharType="separate"/>
      </w:r>
      <w:r w:rsidR="007751F5" w:rsidRPr="00510AD0">
        <w:rPr>
          <w:color w:val="000000"/>
        </w:rPr>
        <w:t>10.5(c)</w:t>
      </w:r>
      <w:r w:rsidR="00286173" w:rsidRPr="00510AD0">
        <w:fldChar w:fldCharType="end"/>
      </w:r>
      <w:r w:rsidRPr="00510AD0">
        <w:t>.</w:t>
      </w:r>
    </w:p>
    <w:p w14:paraId="2727654D" w14:textId="52670ACA" w:rsidR="0055205C" w:rsidRPr="00510AD0" w:rsidRDefault="0055205C" w:rsidP="00D26BA7">
      <w:pPr>
        <w:pStyle w:val="BodyTextLeft"/>
      </w:pPr>
      <w:r w:rsidRPr="00510AD0">
        <w:t xml:space="preserve">“Substitute Letter of Credit” has the meaning set forth in Section </w:t>
      </w:r>
      <w:r w:rsidR="00286173" w:rsidRPr="00510AD0">
        <w:fldChar w:fldCharType="begin"/>
      </w:r>
      <w:r w:rsidR="00286173" w:rsidRPr="00510AD0">
        <w:instrText xml:space="preserve">  REF _Ref69141678 \w \h \* MERGEFORMAT </w:instrText>
      </w:r>
      <w:r w:rsidR="00286173" w:rsidRPr="00510AD0">
        <w:fldChar w:fldCharType="separate"/>
      </w:r>
      <w:r w:rsidR="007751F5" w:rsidRPr="00510AD0">
        <w:rPr>
          <w:color w:val="000000"/>
        </w:rPr>
        <w:t>10.5(c)</w:t>
      </w:r>
      <w:r w:rsidR="00286173" w:rsidRPr="00510AD0">
        <w:fldChar w:fldCharType="end"/>
      </w:r>
      <w:r w:rsidRPr="00510AD0">
        <w:t>.</w:t>
      </w:r>
    </w:p>
    <w:p w14:paraId="2D65F15F" w14:textId="6E7091F9" w:rsidR="0055205C" w:rsidRDefault="0055205C" w:rsidP="00D26BA7">
      <w:pPr>
        <w:pStyle w:val="BodyTextLeft"/>
      </w:pPr>
      <w:r w:rsidRPr="00510AD0">
        <w:t>“Supply Plan” has the meaning set forth in the CAISO Tariff.</w:t>
      </w:r>
    </w:p>
    <w:p w14:paraId="449830D3" w14:textId="77777777" w:rsidR="00BB70FA" w:rsidRDefault="00BB70FA" w:rsidP="00BB70FA">
      <w:r w:rsidRPr="00EC0BAF">
        <w:t>“System Emergency” has the meaning set forth in the CAISO Tariff.</w:t>
      </w:r>
    </w:p>
    <w:p w14:paraId="3142AE1D" w14:textId="7E30E76C" w:rsidR="00847177" w:rsidRPr="00510AD0" w:rsidRDefault="00847177" w:rsidP="00847177">
      <w:pPr>
        <w:pStyle w:val="BodyTextLeft"/>
      </w:pPr>
      <w:r w:rsidRPr="00510AD0">
        <w:lastRenderedPageBreak/>
        <w:t xml:space="preserve">“System RA Attributes” means any and all system resource adequacy attributes, as may be identified at any time during the </w:t>
      </w:r>
      <w:r w:rsidR="00E1275B" w:rsidRPr="00510AD0">
        <w:t>Delivery</w:t>
      </w:r>
      <w:r w:rsidRPr="00510AD0">
        <w:t xml:space="preserve"> Term by the CPUC, CAISO or other Governmental Authority having jurisdiction that can be counted toward system resource adequacy requirements, exclusive of any Local RA Attributes, Flexible RA Attributes and Other Capacity Attributes.</w:t>
      </w:r>
    </w:p>
    <w:p w14:paraId="2F6ECDE7" w14:textId="1F850CA2" w:rsidR="0055205C" w:rsidRPr="00510AD0" w:rsidRDefault="0055205C" w:rsidP="00D26BA7">
      <w:pPr>
        <w:pStyle w:val="BodyTextLeft"/>
      </w:pPr>
      <w:r w:rsidRPr="00510AD0">
        <w:t xml:space="preserve">“Term” has the meaning set forth in Section </w:t>
      </w:r>
      <w:r w:rsidR="00286173" w:rsidRPr="00510AD0">
        <w:fldChar w:fldCharType="begin"/>
      </w:r>
      <w:r w:rsidR="00286173" w:rsidRPr="00510AD0">
        <w:instrText xml:space="preserve">  REF _Ref69141537 \w \h \* MERGEFORMAT </w:instrText>
      </w:r>
      <w:r w:rsidR="00286173" w:rsidRPr="00510AD0">
        <w:fldChar w:fldCharType="separate"/>
      </w:r>
      <w:r w:rsidR="007751F5" w:rsidRPr="00510AD0">
        <w:rPr>
          <w:color w:val="000000"/>
        </w:rPr>
        <w:t>1.1(a)</w:t>
      </w:r>
      <w:r w:rsidR="00286173" w:rsidRPr="00510AD0">
        <w:fldChar w:fldCharType="end"/>
      </w:r>
      <w:r w:rsidRPr="00510AD0">
        <w:t>.</w:t>
      </w:r>
    </w:p>
    <w:p w14:paraId="48DDF3C1" w14:textId="77777777" w:rsidR="0055205C" w:rsidRPr="00510AD0" w:rsidRDefault="0055205C" w:rsidP="00D26BA7">
      <w:pPr>
        <w:pStyle w:val="BodyTextLeft"/>
      </w:pPr>
      <w:r w:rsidRPr="00510AD0">
        <w:t xml:space="preserve">“Termination Payment” means the payment amount equal to the sum of </w:t>
      </w:r>
      <w:bookmarkStart w:id="886" w:name="DocXTextRef365"/>
      <w:r w:rsidRPr="00510AD0">
        <w:t>(a)</w:t>
      </w:r>
      <w:bookmarkEnd w:id="886"/>
      <w:r w:rsidRPr="00510AD0">
        <w:t xml:space="preserve"> and </w:t>
      </w:r>
      <w:bookmarkStart w:id="887" w:name="DocXTextRef366"/>
      <w:r w:rsidRPr="00510AD0">
        <w:t>(b)</w:t>
      </w:r>
      <w:bookmarkEnd w:id="887"/>
      <w:r w:rsidRPr="00510AD0">
        <w:t xml:space="preserve">, where </w:t>
      </w:r>
      <w:bookmarkStart w:id="888" w:name="DocXTextRef367"/>
      <w:r w:rsidRPr="00510AD0">
        <w:t>(a)</w:t>
      </w:r>
      <w:bookmarkEnd w:id="888"/>
      <w:r w:rsidRPr="00510AD0">
        <w:t xml:space="preserve"> is the Settlement Amount or Damage Payment Amount, as applicable, and </w:t>
      </w:r>
      <w:bookmarkStart w:id="889" w:name="DocXTextRef368"/>
      <w:r w:rsidRPr="00510AD0">
        <w:t>(b)</w:t>
      </w:r>
      <w:bookmarkEnd w:id="889"/>
      <w:r w:rsidRPr="00510AD0">
        <w:t xml:space="preserve"> is the sum of all amounts owed by the Defaulting Party to the Non-Defaulting Party under this Agreement, less any amounts owed by the Non-Defaulting Party to the Defaulting Party determined as of the Early Termination Date.</w:t>
      </w:r>
    </w:p>
    <w:p w14:paraId="05DD0EFB" w14:textId="77777777" w:rsidR="0055205C" w:rsidRPr="00510AD0" w:rsidRDefault="0055205C" w:rsidP="00D26BA7">
      <w:pPr>
        <w:pStyle w:val="BodyTextLeft"/>
      </w:pPr>
      <w:r w:rsidRPr="00510AD0">
        <w:t>“Third Party” means a Person that is not a member of the Buyer Group or the Seller Group.</w:t>
      </w:r>
    </w:p>
    <w:p w14:paraId="326D0780" w14:textId="22368827" w:rsidR="0055205C" w:rsidRPr="00510AD0" w:rsidRDefault="0055205C" w:rsidP="00D26BA7">
      <w:pPr>
        <w:pStyle w:val="BodyTextLeft"/>
      </w:pPr>
      <w:r w:rsidRPr="00510AD0">
        <w:t>“Third Party Claim” means a claim, suit or similar demand by a Third Party, including any fines, penalties or similar charges imposed by the Transmission Provider or any Governmental Authority.</w:t>
      </w:r>
    </w:p>
    <w:p w14:paraId="1BC591D8" w14:textId="64007F95" w:rsidR="0055205C" w:rsidRPr="00510AD0" w:rsidRDefault="0055205C" w:rsidP="00D26BA7">
      <w:pPr>
        <w:pStyle w:val="BodyTextLeft"/>
      </w:pPr>
      <w:r w:rsidRPr="00510AD0">
        <w:t>“Transfer”</w:t>
      </w:r>
      <w:r w:rsidR="009D0A06" w:rsidRPr="00510AD0">
        <w:rPr>
          <w:rStyle w:val="FootnoteReference"/>
        </w:rPr>
        <w:footnoteReference w:id="50"/>
      </w:r>
      <w:r w:rsidRPr="00510AD0">
        <w:t xml:space="preserve">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0578C4DE" w14:textId="77777777" w:rsidR="0055205C" w:rsidRPr="00510AD0" w:rsidRDefault="0055205C" w:rsidP="00D26BA7">
      <w:pPr>
        <w:pStyle w:val="BodyTextLeft"/>
      </w:pPr>
      <w:r w:rsidRPr="00510AD0">
        <w:t>“Transmission Provider” means the CAISO.</w:t>
      </w:r>
    </w:p>
    <w:p w14:paraId="05253160" w14:textId="77777777" w:rsidR="0055205C" w:rsidRPr="00510AD0" w:rsidRDefault="0055205C" w:rsidP="00D26BA7">
      <w:pPr>
        <w:pStyle w:val="BodyTextLeft"/>
      </w:pPr>
      <w:r w:rsidRPr="00510AD0">
        <w:t>“Utility Distribution Company” has the meaning set forth in the CAISO Tariff.</w:t>
      </w:r>
    </w:p>
    <w:p w14:paraId="7EE3D03E" w14:textId="66ADEFDE" w:rsidR="0055205C" w:rsidRPr="00510AD0" w:rsidRDefault="0055205C" w:rsidP="00D26BA7">
      <w:pPr>
        <w:pStyle w:val="BodyTextLeft"/>
      </w:pPr>
      <w:r w:rsidRPr="00510AD0">
        <w:t xml:space="preserve">“Variable O&amp;M” or “VOM” means the amount specified in Section </w:t>
      </w:r>
      <w:r w:rsidR="00286173" w:rsidRPr="00510AD0">
        <w:fldChar w:fldCharType="begin"/>
      </w:r>
      <w:r w:rsidR="00286173" w:rsidRPr="00510AD0">
        <w:instrText xml:space="preserve">  REF _Ref69141605 \w \h \* MERGEFORMAT </w:instrText>
      </w:r>
      <w:r w:rsidR="00286173" w:rsidRPr="00510AD0">
        <w:fldChar w:fldCharType="separate"/>
      </w:r>
      <w:r w:rsidR="007751F5" w:rsidRPr="00510AD0">
        <w:rPr>
          <w:color w:val="000000"/>
        </w:rPr>
        <w:t>6.2</w:t>
      </w:r>
      <w:r w:rsidR="00286173" w:rsidRPr="00510AD0">
        <w:fldChar w:fldCharType="end"/>
      </w:r>
      <w:r w:rsidRPr="00510AD0">
        <w:t>.</w:t>
      </w:r>
    </w:p>
    <w:p w14:paraId="04B8C659" w14:textId="315A2067" w:rsidR="0055205C" w:rsidRPr="00510AD0" w:rsidRDefault="0055205C" w:rsidP="00D26BA7">
      <w:pPr>
        <w:pStyle w:val="BodyTextLeft"/>
      </w:pPr>
      <w:r w:rsidRPr="00510AD0">
        <w:t xml:space="preserve">“Watch” has the meaning set forth in Section </w:t>
      </w:r>
      <w:r w:rsidR="00286173" w:rsidRPr="00510AD0">
        <w:fldChar w:fldCharType="begin"/>
      </w:r>
      <w:r w:rsidR="00286173" w:rsidRPr="00510AD0">
        <w:instrText xml:space="preserve">  REF _Ref69141678 \w \h \* MERGEFORMAT </w:instrText>
      </w:r>
      <w:r w:rsidR="00286173" w:rsidRPr="00510AD0">
        <w:fldChar w:fldCharType="separate"/>
      </w:r>
      <w:r w:rsidR="007751F5" w:rsidRPr="00510AD0">
        <w:rPr>
          <w:color w:val="000000"/>
        </w:rPr>
        <w:t>10.5(c)</w:t>
      </w:r>
      <w:r w:rsidR="00286173" w:rsidRPr="00510AD0">
        <w:fldChar w:fldCharType="end"/>
      </w:r>
      <w:r w:rsidRPr="00510AD0">
        <w:t>.</w:t>
      </w:r>
    </w:p>
    <w:p w14:paraId="3F9E067E" w14:textId="77777777" w:rsidR="0055205C" w:rsidRPr="00510AD0" w:rsidRDefault="0055205C" w:rsidP="00D26BA7">
      <w:pPr>
        <w:pStyle w:val="BodyTextLeft"/>
      </w:pPr>
      <w:r w:rsidRPr="00510AD0">
        <w:t>“WECC” means the Western Electricity Coordinating Council or its successor entity with similar functions.</w:t>
      </w:r>
    </w:p>
    <w:p w14:paraId="2C6BF886" w14:textId="77777777" w:rsidR="0055205C" w:rsidRPr="00510AD0" w:rsidRDefault="0055205C" w:rsidP="00D26BA7">
      <w:pPr>
        <w:pStyle w:val="BodyTextLeft"/>
      </w:pPr>
      <w:r w:rsidRPr="00510AD0">
        <w:t xml:space="preserve">“Work” means </w:t>
      </w:r>
      <w:bookmarkStart w:id="890" w:name="DocXTextRef371"/>
      <w:r w:rsidRPr="00510AD0">
        <w:t>(a)</w:t>
      </w:r>
      <w:bookmarkEnd w:id="890"/>
      <w:r w:rsidRPr="00510AD0">
        <w:t xml:space="preserve"> work or operations performed by a Party or on a Party’s behalf; and </w:t>
      </w:r>
      <w:bookmarkStart w:id="891" w:name="DocXTextRef372"/>
      <w:r w:rsidRPr="00510AD0">
        <w:t>(b)</w:t>
      </w:r>
      <w:bookmarkEnd w:id="891"/>
      <w:r w:rsidRPr="00510AD0">
        <w:t xml:space="preserve"> materials, parts or equipment furnished in connection with such work or operations; including </w:t>
      </w:r>
      <w:bookmarkStart w:id="892" w:name="DocXTextRef373"/>
      <w:r w:rsidRPr="00510AD0">
        <w:t>(i)</w:t>
      </w:r>
      <w:bookmarkEnd w:id="892"/>
      <w:r w:rsidRPr="00510AD0">
        <w:t xml:space="preserve"> warranties or representations made at any time with respect to the fitness, quality, durability, performance or use of “a Party’s work”; and (ii) the providing of or failure to provide warnings or instructions.</w:t>
      </w:r>
    </w:p>
    <w:p w14:paraId="452A03F9" w14:textId="77777777" w:rsidR="0055205C" w:rsidRPr="00510AD0" w:rsidRDefault="0055205C" w:rsidP="00D26BA7">
      <w:pPr>
        <w:pStyle w:val="BodyTextLeft"/>
      </w:pPr>
    </w:p>
    <w:p w14:paraId="77E73262" w14:textId="77777777" w:rsidR="0055205C" w:rsidRPr="00510AD0" w:rsidRDefault="0055205C" w:rsidP="00D26BA7">
      <w:pPr>
        <w:pStyle w:val="BodyTextLeft"/>
        <w:sectPr w:rsidR="0055205C" w:rsidRPr="00510AD0" w:rsidSect="0070095F">
          <w:headerReference w:type="default" r:id="rId19"/>
          <w:footerReference w:type="default" r:id="rId20"/>
          <w:pgSz w:w="12240" w:h="15840"/>
          <w:pgMar w:top="1440" w:right="1440" w:bottom="1440" w:left="1440" w:header="432" w:footer="432" w:gutter="0"/>
          <w:pgNumType w:start="1"/>
          <w:cols w:space="720"/>
          <w:docGrid w:linePitch="360"/>
        </w:sectPr>
      </w:pPr>
    </w:p>
    <w:p w14:paraId="7B84CC04" w14:textId="77777777" w:rsidR="0055205C" w:rsidRPr="00510AD0" w:rsidRDefault="0055205C" w:rsidP="00027CC8">
      <w:pPr>
        <w:pStyle w:val="Appendix"/>
      </w:pPr>
      <w:r w:rsidRPr="00510AD0">
        <w:lastRenderedPageBreak/>
        <w:t>APPENDIX II</w:t>
      </w:r>
      <w:r w:rsidRPr="00510AD0">
        <w:br/>
      </w:r>
      <w:r w:rsidRPr="00510AD0">
        <w:br/>
        <w:t>DESCRIPTION OF PROJECT &amp; PRODUCT</w:t>
      </w:r>
    </w:p>
    <w:p w14:paraId="30939D61" w14:textId="1CCCFC28" w:rsidR="0055205C" w:rsidRPr="00510AD0" w:rsidRDefault="0055205C" w:rsidP="00D26BA7">
      <w:pPr>
        <w:pStyle w:val="BodyTextLeft"/>
      </w:pPr>
      <w:r w:rsidRPr="00510AD0">
        <w:t xml:space="preserve">The following describes the Project to be constructed, operated and maintained by Seller or Project Company, as applicable, through the Term in accordance with the Agreement.  </w:t>
      </w:r>
    </w:p>
    <w:p w14:paraId="2A0969AE" w14:textId="77777777" w:rsidR="0055205C" w:rsidRPr="00510AD0" w:rsidRDefault="0055205C" w:rsidP="00D26BA7">
      <w:pPr>
        <w:pStyle w:val="Center"/>
        <w:rPr>
          <w:u w:val="single"/>
        </w:rPr>
      </w:pPr>
      <w:r w:rsidRPr="00510AD0">
        <w:rPr>
          <w:b/>
        </w:rPr>
        <w:t xml:space="preserve">A.  </w:t>
      </w:r>
      <w:r w:rsidRPr="00510AD0">
        <w:rPr>
          <w:b/>
          <w:u w:val="single"/>
        </w:rPr>
        <w:t>PROJECT DESCRIPTION</w:t>
      </w:r>
    </w:p>
    <w:p w14:paraId="46281113" w14:textId="42FE9390" w:rsidR="0055205C" w:rsidRPr="00510AD0" w:rsidRDefault="0055205C" w:rsidP="00D26BA7">
      <w:pPr>
        <w:pStyle w:val="BodyTextLeft"/>
      </w:pPr>
      <w:r w:rsidRPr="00510AD0">
        <w:t xml:space="preserve">Project name:  </w:t>
      </w:r>
      <w:r w:rsidR="002736DC" w:rsidRPr="00510AD0">
        <w:rPr>
          <w:highlight w:val="yellow"/>
        </w:rPr>
        <w:t>_____________________</w:t>
      </w:r>
    </w:p>
    <w:p w14:paraId="0A23F014" w14:textId="22C15948" w:rsidR="0055205C" w:rsidRPr="00510AD0" w:rsidRDefault="0055205C" w:rsidP="00D26BA7">
      <w:pPr>
        <w:pStyle w:val="BodyTextLeft"/>
      </w:pPr>
      <w:r w:rsidRPr="00510AD0">
        <w:t xml:space="preserve">Project Site name:  </w:t>
      </w:r>
      <w:r w:rsidR="002736DC" w:rsidRPr="00510AD0">
        <w:rPr>
          <w:highlight w:val="yellow"/>
        </w:rPr>
        <w:t>_____________________</w:t>
      </w:r>
    </w:p>
    <w:p w14:paraId="1FBDF181" w14:textId="20623712" w:rsidR="0055205C" w:rsidRPr="00510AD0" w:rsidRDefault="0055205C" w:rsidP="00D26BA7">
      <w:pPr>
        <w:pStyle w:val="BodyTextLeft"/>
      </w:pPr>
      <w:r w:rsidRPr="00510AD0">
        <w:t xml:space="preserve">Technology type:  </w:t>
      </w:r>
      <w:r w:rsidR="002736DC" w:rsidRPr="00510AD0">
        <w:rPr>
          <w:highlight w:val="yellow"/>
        </w:rPr>
        <w:t>_____________________</w:t>
      </w:r>
    </w:p>
    <w:p w14:paraId="54E6AB38" w14:textId="1008D35D" w:rsidR="0055205C" w:rsidRPr="00510AD0" w:rsidRDefault="0055205C" w:rsidP="00D26BA7">
      <w:pPr>
        <w:pStyle w:val="BodyTextLeft"/>
      </w:pPr>
      <w:r w:rsidRPr="00510AD0">
        <w:t xml:space="preserve">Project physical address:  </w:t>
      </w:r>
      <w:r w:rsidR="002736DC" w:rsidRPr="00510AD0">
        <w:rPr>
          <w:highlight w:val="yellow"/>
        </w:rPr>
        <w:t>_____________________</w:t>
      </w:r>
    </w:p>
    <w:p w14:paraId="225AD142" w14:textId="71EDE1B8" w:rsidR="0055205C" w:rsidRPr="00510AD0" w:rsidRDefault="0055205C" w:rsidP="00D26BA7">
      <w:pPr>
        <w:pStyle w:val="BodyTextLeft"/>
      </w:pPr>
      <w:r w:rsidRPr="00510AD0">
        <w:t xml:space="preserve">Project latitude: </w:t>
      </w:r>
      <w:r w:rsidRPr="00510AD0">
        <w:rPr>
          <w:highlight w:val="yellow"/>
        </w:rPr>
        <w:t>___</w:t>
      </w:r>
      <w:r w:rsidRPr="00510AD0">
        <w:t xml:space="preserve"> (decimal form)</w:t>
      </w:r>
    </w:p>
    <w:p w14:paraId="111A9983" w14:textId="77777777" w:rsidR="0055205C" w:rsidRPr="00510AD0" w:rsidRDefault="0055205C" w:rsidP="00D26BA7">
      <w:pPr>
        <w:pStyle w:val="BodyTextLeft"/>
      </w:pPr>
      <w:r w:rsidRPr="00510AD0">
        <w:t xml:space="preserve">Project longitude: </w:t>
      </w:r>
      <w:r w:rsidRPr="00510AD0">
        <w:rPr>
          <w:highlight w:val="yellow"/>
        </w:rPr>
        <w:t>___</w:t>
      </w:r>
      <w:r w:rsidRPr="00510AD0">
        <w:t xml:space="preserve"> (decimal form)</w:t>
      </w:r>
    </w:p>
    <w:p w14:paraId="311323F0" w14:textId="77777777" w:rsidR="0055205C" w:rsidRPr="00510AD0" w:rsidRDefault="0055205C" w:rsidP="00D26BA7">
      <w:pPr>
        <w:pStyle w:val="BodyTextLeft"/>
      </w:pPr>
      <w:r w:rsidRPr="00510AD0">
        <w:t xml:space="preserve">Project Company:  </w:t>
      </w:r>
      <w:r w:rsidRPr="00510AD0">
        <w:rPr>
          <w:highlight w:val="yellow"/>
        </w:rPr>
        <w:t>_____________________</w:t>
      </w:r>
    </w:p>
    <w:p w14:paraId="46568913" w14:textId="77777777" w:rsidR="0055205C" w:rsidRPr="00510AD0" w:rsidRDefault="0055205C" w:rsidP="00D26BA7">
      <w:pPr>
        <w:pStyle w:val="BodyTextLeft"/>
      </w:pPr>
      <w:r w:rsidRPr="00510AD0">
        <w:t xml:space="preserve">Seller Supply Agreement: </w:t>
      </w:r>
      <w:r w:rsidRPr="00510AD0">
        <w:rPr>
          <w:highlight w:val="yellow"/>
        </w:rPr>
        <w:t>________________</w:t>
      </w:r>
    </w:p>
    <w:tbl>
      <w:tblPr>
        <w:tblStyle w:val="TableGrid"/>
        <w:tblW w:w="2261" w:type="pct"/>
        <w:tblLook w:val="04A0" w:firstRow="1" w:lastRow="0" w:firstColumn="1" w:lastColumn="0" w:noHBand="0" w:noVBand="1"/>
      </w:tblPr>
      <w:tblGrid>
        <w:gridCol w:w="2430"/>
        <w:gridCol w:w="1798"/>
      </w:tblGrid>
      <w:tr w:rsidR="0055205C" w:rsidRPr="00510AD0" w14:paraId="3151842A" w14:textId="77777777" w:rsidTr="002429D4">
        <w:tc>
          <w:tcPr>
            <w:tcW w:w="5000" w:type="pct"/>
            <w:gridSpan w:val="2"/>
          </w:tcPr>
          <w:p w14:paraId="1D8C7AD8" w14:textId="77777777" w:rsidR="0055205C" w:rsidRPr="00510AD0" w:rsidRDefault="0055205C" w:rsidP="00027CC8">
            <w:pPr>
              <w:pStyle w:val="CapStorageParaa"/>
              <w:keepNext/>
              <w:spacing w:after="0"/>
              <w:ind w:firstLine="0"/>
              <w:jc w:val="center"/>
              <w:rPr>
                <w:rFonts w:ascii="Times New Roman" w:hAnsi="Times New Roman" w:cs="Times New Roman"/>
                <w:b/>
                <w:szCs w:val="24"/>
              </w:rPr>
            </w:pPr>
            <w:r w:rsidRPr="00510AD0">
              <w:rPr>
                <w:rFonts w:ascii="Times New Roman" w:hAnsi="Times New Roman" w:cs="Times New Roman"/>
                <w:b/>
                <w:szCs w:val="24"/>
              </w:rPr>
              <w:t>PROJECT LOCATION</w:t>
            </w:r>
            <w:bookmarkStart w:id="893" w:name="_Ref69141899"/>
            <w:r w:rsidRPr="00510AD0">
              <w:rPr>
                <w:rStyle w:val="FootnoteReference"/>
                <w:rFonts w:ascii="Times New Roman" w:hAnsi="Times New Roman" w:cs="Times New Roman"/>
                <w:szCs w:val="24"/>
              </w:rPr>
              <w:footnoteReference w:id="51"/>
            </w:r>
            <w:bookmarkEnd w:id="893"/>
          </w:p>
        </w:tc>
      </w:tr>
      <w:tr w:rsidR="0055205C" w:rsidRPr="00510AD0" w14:paraId="475B95D0" w14:textId="77777777" w:rsidTr="002429D4">
        <w:tc>
          <w:tcPr>
            <w:tcW w:w="2874" w:type="pct"/>
          </w:tcPr>
          <w:p w14:paraId="1F4814FA" w14:textId="77777777" w:rsidR="0055205C" w:rsidRPr="00510AD0" w:rsidRDefault="0055205C" w:rsidP="00027CC8">
            <w:pPr>
              <w:pStyle w:val="CapStorageParaa"/>
              <w:spacing w:after="0"/>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BTM</w:t>
            </w:r>
          </w:p>
          <w:p w14:paraId="2B598CDE" w14:textId="77777777" w:rsidR="0055205C" w:rsidRPr="00510AD0" w:rsidRDefault="0055205C" w:rsidP="00027CC8">
            <w:pPr>
              <w:rPr>
                <w:rFonts w:ascii="Times New Roman" w:hAnsi="Times New Roman" w:cs="Times New Roman"/>
              </w:rPr>
            </w:pPr>
            <w:r w:rsidRPr="00510AD0">
              <w:rPr>
                <w:rFonts w:ascii="Times New Roman" w:hAnsi="Times New Roman" w:cs="Times New Roman"/>
              </w:rPr>
              <w:t>(Behind the Meter)</w:t>
            </w:r>
          </w:p>
        </w:tc>
        <w:tc>
          <w:tcPr>
            <w:tcW w:w="2126" w:type="pct"/>
          </w:tcPr>
          <w:p w14:paraId="257DF685" w14:textId="77777777" w:rsidR="0055205C" w:rsidRPr="00510AD0" w:rsidRDefault="0055205C" w:rsidP="00027CC8">
            <w:pPr>
              <w:pStyle w:val="CapStorageParaa"/>
              <w:spacing w:after="0"/>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FTM*</w:t>
            </w:r>
          </w:p>
          <w:p w14:paraId="6C6705EF" w14:textId="77777777" w:rsidR="0055205C" w:rsidRPr="00510AD0" w:rsidRDefault="0055205C" w:rsidP="00027CC8">
            <w:pPr>
              <w:rPr>
                <w:rFonts w:ascii="Times New Roman" w:hAnsi="Times New Roman" w:cs="Times New Roman"/>
              </w:rPr>
            </w:pPr>
            <w:r w:rsidRPr="00510AD0">
              <w:rPr>
                <w:rFonts w:ascii="Times New Roman" w:hAnsi="Times New Roman" w:cs="Times New Roman"/>
              </w:rPr>
              <w:t>(Front of Meter)</w:t>
            </w:r>
          </w:p>
        </w:tc>
      </w:tr>
    </w:tbl>
    <w:p w14:paraId="1F8F2D4C" w14:textId="77777777" w:rsidR="0055205C" w:rsidRPr="00510AD0" w:rsidRDefault="0055205C" w:rsidP="00027CC8">
      <w:pPr>
        <w:pStyle w:val="BodyTextLeft"/>
        <w:rPr>
          <w:szCs w:val="24"/>
        </w:rPr>
      </w:pPr>
    </w:p>
    <w:p w14:paraId="52C98331" w14:textId="180E2EAB" w:rsidR="0055205C" w:rsidRPr="00510AD0" w:rsidRDefault="0055205C" w:rsidP="00027CC8">
      <w:pPr>
        <w:pStyle w:val="BodyTextLeft"/>
        <w:rPr>
          <w:szCs w:val="24"/>
        </w:rPr>
      </w:pPr>
      <w:r w:rsidRPr="00510AD0">
        <w:rPr>
          <w:szCs w:val="24"/>
        </w:rPr>
        <w:t>*If F</w:t>
      </w:r>
      <w:r w:rsidR="007504C2" w:rsidRPr="00510AD0">
        <w:rPr>
          <w:szCs w:val="24"/>
        </w:rPr>
        <w:t>TM</w:t>
      </w:r>
      <w:r w:rsidRPr="00510AD0">
        <w:rPr>
          <w:szCs w:val="24"/>
        </w:rPr>
        <w:t xml:space="preserve"> is selected, the Project is a “Front of the Meter Project” and provisions related to “Behind the Meter Project” shall not apply or be effective. </w:t>
      </w:r>
    </w:p>
    <w:p w14:paraId="17BACCB0" w14:textId="77777777" w:rsidR="0055205C" w:rsidRPr="00510AD0" w:rsidRDefault="0055205C" w:rsidP="00D26BA7">
      <w:pPr>
        <w:pStyle w:val="BodyTextLeft"/>
        <w:rPr>
          <w:szCs w:val="24"/>
        </w:rPr>
      </w:pPr>
      <w:r w:rsidRPr="00510AD0">
        <w:rPr>
          <w:szCs w:val="24"/>
        </w:rPr>
        <w:t>Interconnection.  The point of interconnection</w:t>
      </w:r>
      <w:r w:rsidRPr="00510AD0" w:rsidDel="0016022C">
        <w:rPr>
          <w:szCs w:val="24"/>
        </w:rPr>
        <w:t xml:space="preserve"> </w:t>
      </w:r>
      <w:r w:rsidRPr="00510AD0">
        <w:rPr>
          <w:szCs w:val="24"/>
        </w:rPr>
        <w:t>for the Project is described as follows:</w:t>
      </w:r>
    </w:p>
    <w:p w14:paraId="744B4643" w14:textId="77777777" w:rsidR="0055205C" w:rsidRPr="00510AD0" w:rsidRDefault="0055205C" w:rsidP="00D26BA7">
      <w:pPr>
        <w:pStyle w:val="BodyText"/>
        <w:rPr>
          <w:szCs w:val="24"/>
        </w:rPr>
      </w:pPr>
      <w:r w:rsidRPr="00510AD0">
        <w:rPr>
          <w:szCs w:val="24"/>
        </w:rPr>
        <w:t xml:space="preserve">CAISO transmission access charge area (e.g. PG&amp;E):  </w:t>
      </w:r>
      <w:r w:rsidRPr="00510AD0">
        <w:rPr>
          <w:szCs w:val="24"/>
          <w:highlight w:val="yellow"/>
        </w:rPr>
        <w:t>___________</w:t>
      </w:r>
    </w:p>
    <w:p w14:paraId="06D37FBD" w14:textId="73210BC4" w:rsidR="0055205C" w:rsidRPr="00510AD0" w:rsidRDefault="0055205C" w:rsidP="00D26BA7">
      <w:pPr>
        <w:pStyle w:val="BodyText"/>
        <w:rPr>
          <w:szCs w:val="24"/>
        </w:rPr>
      </w:pPr>
      <w:r w:rsidRPr="00510AD0">
        <w:rPr>
          <w:szCs w:val="24"/>
        </w:rPr>
        <w:t xml:space="preserve">Existing zone (e.g. NP-15):  </w:t>
      </w:r>
      <w:r w:rsidRPr="00510AD0">
        <w:rPr>
          <w:szCs w:val="24"/>
          <w:highlight w:val="yellow"/>
        </w:rPr>
        <w:t>___________</w:t>
      </w:r>
    </w:p>
    <w:p w14:paraId="6F488332" w14:textId="4F9B6554" w:rsidR="007504C2" w:rsidRPr="00510AD0" w:rsidRDefault="007504C2" w:rsidP="007504C2">
      <w:pPr>
        <w:pStyle w:val="BodyText"/>
        <w:rPr>
          <w:szCs w:val="24"/>
        </w:rPr>
      </w:pPr>
      <w:r w:rsidRPr="00510AD0">
        <w:rPr>
          <w:szCs w:val="24"/>
        </w:rPr>
        <w:t xml:space="preserve">Local Capacity Area:  </w:t>
      </w:r>
      <w:r w:rsidRPr="00510AD0">
        <w:rPr>
          <w:szCs w:val="24"/>
          <w:highlight w:val="yellow"/>
        </w:rPr>
        <w:t>___________</w:t>
      </w:r>
    </w:p>
    <w:p w14:paraId="7AD831D3" w14:textId="77777777" w:rsidR="0055205C" w:rsidRPr="00510AD0" w:rsidRDefault="0055205C" w:rsidP="00D26BA7">
      <w:pPr>
        <w:pStyle w:val="BodyText"/>
        <w:rPr>
          <w:szCs w:val="24"/>
        </w:rPr>
      </w:pPr>
      <w:r w:rsidRPr="00510AD0">
        <w:rPr>
          <w:szCs w:val="24"/>
        </w:rPr>
        <w:t xml:space="preserve">Physical point of interconnection to CAISO Grid:  </w:t>
      </w:r>
      <w:r w:rsidRPr="00510AD0">
        <w:rPr>
          <w:szCs w:val="24"/>
          <w:highlight w:val="yellow"/>
        </w:rPr>
        <w:t>___________</w:t>
      </w:r>
    </w:p>
    <w:p w14:paraId="52FC6662" w14:textId="77777777" w:rsidR="0055205C" w:rsidRPr="00510AD0" w:rsidRDefault="0055205C" w:rsidP="00D26BA7">
      <w:pPr>
        <w:pStyle w:val="BodyText"/>
        <w:rPr>
          <w:szCs w:val="24"/>
        </w:rPr>
      </w:pPr>
      <w:r w:rsidRPr="00510AD0">
        <w:rPr>
          <w:szCs w:val="24"/>
        </w:rPr>
        <w:t xml:space="preserve">PNode:  </w:t>
      </w:r>
      <w:r w:rsidRPr="00510AD0">
        <w:rPr>
          <w:szCs w:val="24"/>
          <w:highlight w:val="yellow"/>
        </w:rPr>
        <w:t>___________</w:t>
      </w:r>
    </w:p>
    <w:p w14:paraId="37F0ABD2" w14:textId="77777777" w:rsidR="0055205C" w:rsidRPr="00510AD0" w:rsidRDefault="0055205C" w:rsidP="00D26BA7">
      <w:pPr>
        <w:pStyle w:val="BodyText"/>
        <w:rPr>
          <w:szCs w:val="24"/>
        </w:rPr>
      </w:pPr>
      <w:r w:rsidRPr="00510AD0">
        <w:rPr>
          <w:szCs w:val="24"/>
        </w:rPr>
        <w:t xml:space="preserve">CAISO Resource ID: </w:t>
      </w:r>
      <w:r w:rsidRPr="00510AD0">
        <w:rPr>
          <w:szCs w:val="24"/>
          <w:highlight w:val="yellow"/>
        </w:rPr>
        <w:t>___________</w:t>
      </w:r>
    </w:p>
    <w:p w14:paraId="3EA963DB" w14:textId="4D11AB5D" w:rsidR="0055205C" w:rsidRPr="00510AD0" w:rsidRDefault="0055205C" w:rsidP="00D26BA7">
      <w:pPr>
        <w:pStyle w:val="BodyText"/>
        <w:rPr>
          <w:szCs w:val="24"/>
        </w:rPr>
      </w:pPr>
      <w:r w:rsidRPr="00510AD0">
        <w:rPr>
          <w:szCs w:val="24"/>
        </w:rPr>
        <w:lastRenderedPageBreak/>
        <w:t xml:space="preserve">Substation:  </w:t>
      </w:r>
      <w:r w:rsidRPr="00510AD0">
        <w:rPr>
          <w:szCs w:val="24"/>
          <w:highlight w:val="yellow"/>
        </w:rPr>
        <w:t>___________</w:t>
      </w:r>
    </w:p>
    <w:p w14:paraId="0368AFF7" w14:textId="7533A3B3" w:rsidR="0055205C" w:rsidRPr="00510AD0" w:rsidRDefault="0055205C" w:rsidP="00D26BA7">
      <w:pPr>
        <w:pStyle w:val="Center"/>
        <w:rPr>
          <w:b/>
          <w:bCs/>
          <w:szCs w:val="24"/>
        </w:rPr>
      </w:pPr>
      <w:r w:rsidRPr="00510AD0">
        <w:rPr>
          <w:b/>
          <w:bCs/>
          <w:szCs w:val="24"/>
        </w:rPr>
        <w:t>B.  PROJECT SIZE</w:t>
      </w:r>
    </w:p>
    <w:p w14:paraId="62333D51" w14:textId="77777777" w:rsidR="0055205C" w:rsidRPr="00510AD0" w:rsidRDefault="0055205C" w:rsidP="00D26BA7">
      <w:pPr>
        <w:pStyle w:val="BodyTextLeft"/>
        <w:rPr>
          <w:szCs w:val="24"/>
        </w:rPr>
      </w:pPr>
      <w:r w:rsidRPr="00510AD0">
        <w:rPr>
          <w:szCs w:val="24"/>
        </w:rPr>
        <w:t xml:space="preserve">FTM: Nameplate capacity:  </w:t>
      </w:r>
      <w:r w:rsidRPr="00510AD0">
        <w:rPr>
          <w:szCs w:val="24"/>
          <w:highlight w:val="yellow"/>
        </w:rPr>
        <w:t>________</w:t>
      </w:r>
      <w:r w:rsidRPr="00510AD0">
        <w:rPr>
          <w:szCs w:val="24"/>
        </w:rPr>
        <w:t>MW</w:t>
      </w:r>
    </w:p>
    <w:p w14:paraId="62C43B2B" w14:textId="77777777" w:rsidR="0055205C" w:rsidRPr="00510AD0" w:rsidRDefault="0055205C" w:rsidP="00D26BA7">
      <w:pPr>
        <w:pStyle w:val="BodyTextLeft"/>
        <w:rPr>
          <w:szCs w:val="24"/>
        </w:rPr>
      </w:pPr>
      <w:r w:rsidRPr="00510AD0">
        <w:rPr>
          <w:szCs w:val="24"/>
        </w:rPr>
        <w:t xml:space="preserve">BTM: Aggregate nameplate capacity:  </w:t>
      </w:r>
      <w:r w:rsidRPr="00510AD0">
        <w:rPr>
          <w:szCs w:val="24"/>
          <w:highlight w:val="yellow"/>
        </w:rPr>
        <w:t>________</w:t>
      </w:r>
      <w:r w:rsidRPr="00510AD0">
        <w:rPr>
          <w:szCs w:val="24"/>
        </w:rPr>
        <w:t>MW</w:t>
      </w:r>
    </w:p>
    <w:p w14:paraId="1CB5B5A0" w14:textId="0D954814" w:rsidR="0055205C" w:rsidRPr="00510AD0" w:rsidRDefault="0055205C" w:rsidP="00DC011E">
      <w:pPr>
        <w:pStyle w:val="Center"/>
        <w:rPr>
          <w:b/>
          <w:bCs/>
          <w:szCs w:val="24"/>
          <w:u w:val="single"/>
        </w:rPr>
      </w:pPr>
      <w:r w:rsidRPr="00510AD0">
        <w:rPr>
          <w:b/>
          <w:bCs/>
          <w:szCs w:val="24"/>
        </w:rPr>
        <w:t xml:space="preserve">C.  </w:t>
      </w:r>
      <w:r w:rsidRPr="00510AD0">
        <w:rPr>
          <w:b/>
          <w:bCs/>
          <w:szCs w:val="24"/>
          <w:u w:val="single"/>
        </w:rPr>
        <w:t>PRODUCT</w:t>
      </w:r>
      <w:bookmarkStart w:id="894" w:name="_Hlk65602913"/>
      <w:bookmarkStart w:id="895" w:name="_Hlk64999739"/>
    </w:p>
    <w:tbl>
      <w:tblPr>
        <w:tblStyle w:val="TableGrid"/>
        <w:tblW w:w="2933" w:type="pct"/>
        <w:tblLook w:val="04A0" w:firstRow="1" w:lastRow="0" w:firstColumn="1" w:lastColumn="0" w:noHBand="0" w:noVBand="1"/>
      </w:tblPr>
      <w:tblGrid>
        <w:gridCol w:w="2245"/>
        <w:gridCol w:w="1621"/>
        <w:gridCol w:w="1619"/>
      </w:tblGrid>
      <w:tr w:rsidR="0055205C" w:rsidRPr="00510AD0" w14:paraId="134578B7" w14:textId="77777777" w:rsidTr="002429D4">
        <w:tc>
          <w:tcPr>
            <w:tcW w:w="2046" w:type="pct"/>
          </w:tcPr>
          <w:p w14:paraId="02056B3C" w14:textId="77777777" w:rsidR="0055205C" w:rsidRPr="00510AD0" w:rsidRDefault="0055205C" w:rsidP="00E907E0">
            <w:pPr>
              <w:pStyle w:val="CapStorageParaa"/>
              <w:keepNext/>
              <w:ind w:firstLine="0"/>
              <w:rPr>
                <w:rFonts w:ascii="Times New Roman" w:hAnsi="Times New Roman" w:cs="Times New Roman"/>
                <w:bCs/>
                <w:szCs w:val="24"/>
              </w:rPr>
            </w:pPr>
          </w:p>
        </w:tc>
        <w:tc>
          <w:tcPr>
            <w:tcW w:w="2954" w:type="pct"/>
            <w:gridSpan w:val="2"/>
          </w:tcPr>
          <w:p w14:paraId="24EF8170" w14:textId="77777777" w:rsidR="0055205C" w:rsidRPr="00510AD0" w:rsidRDefault="0055205C" w:rsidP="00E907E0">
            <w:pPr>
              <w:pStyle w:val="CapStorageParaa"/>
              <w:keepNext/>
              <w:ind w:firstLine="0"/>
              <w:jc w:val="center"/>
              <w:rPr>
                <w:rFonts w:ascii="Times New Roman" w:hAnsi="Times New Roman" w:cs="Times New Roman"/>
                <w:b/>
                <w:szCs w:val="24"/>
              </w:rPr>
            </w:pPr>
            <w:r w:rsidRPr="00510AD0">
              <w:rPr>
                <w:rFonts w:ascii="Times New Roman" w:hAnsi="Times New Roman" w:cs="Times New Roman"/>
                <w:b/>
                <w:szCs w:val="24"/>
              </w:rPr>
              <w:t>Energy Settlement</w:t>
            </w:r>
            <w:bookmarkStart w:id="896" w:name="_Ref69141900"/>
            <w:r w:rsidRPr="00510AD0">
              <w:rPr>
                <w:rStyle w:val="FootnoteReference"/>
                <w:rFonts w:ascii="Times New Roman" w:hAnsi="Times New Roman" w:cs="Times New Roman"/>
                <w:szCs w:val="24"/>
              </w:rPr>
              <w:footnoteReference w:id="52"/>
            </w:r>
            <w:bookmarkEnd w:id="896"/>
          </w:p>
        </w:tc>
      </w:tr>
      <w:tr w:rsidR="0055205C" w:rsidRPr="00510AD0" w14:paraId="481B3C74" w14:textId="77777777" w:rsidTr="002429D4">
        <w:tc>
          <w:tcPr>
            <w:tcW w:w="2046" w:type="pct"/>
          </w:tcPr>
          <w:p w14:paraId="6B34B27C" w14:textId="77777777" w:rsidR="0055205C" w:rsidRPr="00510AD0" w:rsidRDefault="0055205C" w:rsidP="00E907E0">
            <w:pPr>
              <w:pStyle w:val="CapStorageParaa"/>
              <w:ind w:firstLine="0"/>
              <w:rPr>
                <w:rFonts w:ascii="Times New Roman" w:hAnsi="Times New Roman" w:cs="Times New Roman"/>
                <w:bCs/>
                <w:szCs w:val="24"/>
              </w:rPr>
            </w:pPr>
            <w:r w:rsidRPr="00510AD0">
              <w:rPr>
                <w:rFonts w:ascii="Times New Roman" w:hAnsi="Times New Roman" w:cs="Times New Roman"/>
                <w:bCs/>
                <w:szCs w:val="24"/>
              </w:rPr>
              <w:t>Does this Agreement include Energy Settlement?</w:t>
            </w:r>
          </w:p>
        </w:tc>
        <w:tc>
          <w:tcPr>
            <w:tcW w:w="1478" w:type="pct"/>
          </w:tcPr>
          <w:p w14:paraId="5FB02D1D" w14:textId="77777777" w:rsidR="0055205C" w:rsidRPr="00510AD0" w:rsidRDefault="0055205C" w:rsidP="00E907E0">
            <w:pPr>
              <w:pStyle w:val="CapStorageParaa"/>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YES</w:t>
            </w:r>
          </w:p>
        </w:tc>
        <w:tc>
          <w:tcPr>
            <w:tcW w:w="1477" w:type="pct"/>
          </w:tcPr>
          <w:p w14:paraId="04BFAB4C" w14:textId="77777777" w:rsidR="0055205C" w:rsidRPr="00510AD0" w:rsidRDefault="0055205C" w:rsidP="00E907E0">
            <w:pPr>
              <w:pStyle w:val="CapStorageParaa"/>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NO*</w:t>
            </w:r>
          </w:p>
        </w:tc>
      </w:tr>
    </w:tbl>
    <w:p w14:paraId="57EB10AC" w14:textId="7B93D70D" w:rsidR="0055205C" w:rsidRDefault="0055205C" w:rsidP="00D26BA7">
      <w:pPr>
        <w:pStyle w:val="BodyTextLeft"/>
      </w:pPr>
      <w:r w:rsidRPr="00510AD0">
        <w:t xml:space="preserve">*If “NO” is selected, the Parties have agreed that there shall be no Energy Settlement under this Agreement and, for the avoidance of doubt, no Energy Settlement payments or netting shall be made under this Agreement and any provisions relating to Energy Settlement in this Agreement shall not apply or be effective. </w:t>
      </w:r>
    </w:p>
    <w:p w14:paraId="5C252A87" w14:textId="77777777" w:rsidR="00D02786" w:rsidRDefault="00D02786" w:rsidP="00D36D71">
      <w:pPr>
        <w:pStyle w:val="BodyText"/>
        <w:ind w:firstLine="0"/>
      </w:pPr>
      <w:r w:rsidRPr="00D32886">
        <w:t xml:space="preserve">Maximum Cumulative Capacity </w:t>
      </w:r>
      <w:r>
        <w:t>b</w:t>
      </w:r>
      <w:r w:rsidRPr="00D32886">
        <w:t>ucket</w:t>
      </w:r>
      <w:r>
        <w:t xml:space="preserve">: </w:t>
      </w:r>
      <w:r w:rsidRPr="004A1B7F">
        <w:rPr>
          <w:highlight w:val="yellow"/>
        </w:rPr>
        <w:t>_______________</w:t>
      </w:r>
    </w:p>
    <w:p w14:paraId="18DD55FC" w14:textId="77777777" w:rsidR="00D02786" w:rsidRDefault="00D02786" w:rsidP="00D36D71">
      <w:pPr>
        <w:pStyle w:val="BodyText"/>
        <w:ind w:firstLine="0"/>
      </w:pPr>
      <w:r>
        <w:t xml:space="preserve">Flexible Capacity Category:  </w:t>
      </w:r>
      <w:r w:rsidRPr="004A1B7F">
        <w:rPr>
          <w:highlight w:val="yellow"/>
        </w:rPr>
        <w:t>_______________</w:t>
      </w:r>
    </w:p>
    <w:p w14:paraId="6FEB6ADA" w14:textId="09995F5F" w:rsidR="0055205C" w:rsidRPr="00510AD0" w:rsidRDefault="00DC011E" w:rsidP="00D26BA7">
      <w:pPr>
        <w:pStyle w:val="BodyTextLeftBold"/>
      </w:pPr>
      <w:r w:rsidRPr="00510AD0">
        <w:t>Product</w:t>
      </w:r>
      <w:r w:rsidR="0055205C" w:rsidRPr="00510AD0">
        <w:t>, Payment Quantity [&amp; Energy Settlement Payment Quantity]</w:t>
      </w:r>
      <w:r w:rsidR="00687F76" w:rsidRPr="00510AD0">
        <w:rPr>
          <w:rStyle w:val="FootnoteReference"/>
        </w:rPr>
        <w:footnoteReference w:id="53"/>
      </w:r>
      <w:r w:rsidR="0055205C" w:rsidRPr="00510AD0">
        <w:t xml:space="preserve"> by Contract Month</w:t>
      </w:r>
    </w:p>
    <w:tbl>
      <w:tblPr>
        <w:tblStyle w:val="TableGrid"/>
        <w:tblW w:w="5000" w:type="pct"/>
        <w:tblLook w:val="04A0" w:firstRow="1" w:lastRow="0" w:firstColumn="1" w:lastColumn="0" w:noHBand="0" w:noVBand="1"/>
      </w:tblPr>
      <w:tblGrid>
        <w:gridCol w:w="1911"/>
        <w:gridCol w:w="1984"/>
        <w:gridCol w:w="1984"/>
        <w:gridCol w:w="1672"/>
        <w:gridCol w:w="1799"/>
      </w:tblGrid>
      <w:tr w:rsidR="00E30D29" w:rsidRPr="00510AD0" w14:paraId="26A37CD4" w14:textId="77777777" w:rsidTr="00EC683A">
        <w:trPr>
          <w:trHeight w:val="377"/>
        </w:trPr>
        <w:tc>
          <w:tcPr>
            <w:tcW w:w="1022" w:type="pct"/>
            <w:vMerge w:val="restart"/>
          </w:tcPr>
          <w:bookmarkEnd w:id="894"/>
          <w:p w14:paraId="45FA6409"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rPr>
              <w:t>Contract Month:</w:t>
            </w:r>
          </w:p>
        </w:tc>
        <w:tc>
          <w:tcPr>
            <w:tcW w:w="2122" w:type="pct"/>
            <w:gridSpan w:val="2"/>
          </w:tcPr>
          <w:p w14:paraId="31DC920D" w14:textId="77777777" w:rsidR="00E30D29" w:rsidRPr="00510AD0" w:rsidRDefault="00E30D29" w:rsidP="00EC683A">
            <w:pPr>
              <w:pStyle w:val="CapStorageParaa"/>
              <w:keepNext/>
              <w:spacing w:after="0"/>
              <w:ind w:firstLine="0"/>
              <w:rPr>
                <w:rFonts w:ascii="Times New Roman" w:hAnsi="Times New Roman" w:cs="Times New Roman"/>
              </w:rPr>
            </w:pPr>
            <w:r w:rsidRPr="00510AD0">
              <w:rPr>
                <w:rFonts w:ascii="Times New Roman" w:hAnsi="Times New Roman" w:cs="Times New Roman"/>
                <w:bCs/>
                <w:szCs w:val="24"/>
              </w:rPr>
              <w:t>Product:</w:t>
            </w:r>
            <w:r w:rsidRPr="00510AD0">
              <w:rPr>
                <w:rStyle w:val="FootnoteReference"/>
                <w:rFonts w:ascii="Times New Roman" w:hAnsi="Times New Roman" w:cs="Times New Roman"/>
                <w:bCs/>
                <w:szCs w:val="24"/>
              </w:rPr>
              <w:footnoteReference w:id="54"/>
            </w:r>
          </w:p>
        </w:tc>
        <w:tc>
          <w:tcPr>
            <w:tcW w:w="894" w:type="pct"/>
            <w:vMerge w:val="restart"/>
          </w:tcPr>
          <w:p w14:paraId="75DBBBF6" w14:textId="2E551862"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rPr>
              <w:t>Payment Quantity:</w:t>
            </w:r>
            <w:r w:rsidR="002D508F" w:rsidRPr="00510AD0">
              <w:rPr>
                <w:rStyle w:val="FootnoteReference"/>
                <w:rFonts w:ascii="Times New Roman" w:hAnsi="Times New Roman" w:cs="Times New Roman"/>
                <w:bCs/>
                <w:szCs w:val="24"/>
              </w:rPr>
              <w:footnoteReference w:id="55"/>
            </w:r>
          </w:p>
        </w:tc>
        <w:tc>
          <w:tcPr>
            <w:tcW w:w="962" w:type="pct"/>
            <w:vMerge w:val="restart"/>
          </w:tcPr>
          <w:p w14:paraId="09C6B1E6"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rPr>
              <w:t>[Energy Settlement Payment Quantity:</w:t>
            </w:r>
            <w:r w:rsidRPr="00510AD0">
              <w:rPr>
                <w:rFonts w:ascii="Times New Roman" w:hAnsi="Times New Roman" w:cs="Times New Roman"/>
                <w:szCs w:val="24"/>
              </w:rPr>
              <w:t>]</w:t>
            </w:r>
            <w:r w:rsidRPr="00510AD0">
              <w:rPr>
                <w:rStyle w:val="FootnoteReference"/>
                <w:rFonts w:ascii="Times New Roman" w:hAnsi="Times New Roman" w:cs="Times New Roman"/>
                <w:szCs w:val="24"/>
              </w:rPr>
              <w:footnoteReference w:id="56"/>
            </w:r>
          </w:p>
        </w:tc>
      </w:tr>
      <w:tr w:rsidR="00E30D29" w:rsidRPr="00510AD0" w14:paraId="44AB2AC8" w14:textId="77777777" w:rsidTr="00EC683A">
        <w:trPr>
          <w:trHeight w:val="647"/>
        </w:trPr>
        <w:tc>
          <w:tcPr>
            <w:tcW w:w="1022" w:type="pct"/>
            <w:vMerge/>
          </w:tcPr>
          <w:p w14:paraId="68F8944D" w14:textId="77777777" w:rsidR="00E30D29" w:rsidRPr="00510AD0" w:rsidRDefault="00E30D29" w:rsidP="00EC683A">
            <w:pPr>
              <w:pStyle w:val="CapStorageParaa"/>
              <w:spacing w:after="0"/>
              <w:ind w:firstLine="0"/>
              <w:rPr>
                <w:rFonts w:ascii="Times New Roman" w:hAnsi="Times New Roman" w:cs="Times New Roman"/>
                <w:bCs/>
                <w:szCs w:val="24"/>
              </w:rPr>
            </w:pPr>
          </w:p>
        </w:tc>
        <w:tc>
          <w:tcPr>
            <w:tcW w:w="1061" w:type="pct"/>
          </w:tcPr>
          <w:p w14:paraId="235E2C29"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rPr>
              <w:t>RA Attributes:</w:t>
            </w:r>
          </w:p>
        </w:tc>
        <w:tc>
          <w:tcPr>
            <w:tcW w:w="1061" w:type="pct"/>
          </w:tcPr>
          <w:p w14:paraId="6ED0E0BB"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rPr>
              <w:t>Flexible RA Attributes:</w:t>
            </w:r>
          </w:p>
        </w:tc>
        <w:tc>
          <w:tcPr>
            <w:tcW w:w="894" w:type="pct"/>
            <w:vMerge/>
          </w:tcPr>
          <w:p w14:paraId="5E4A5CD8" w14:textId="77777777" w:rsidR="00E30D29" w:rsidRPr="00510AD0" w:rsidRDefault="00E30D29" w:rsidP="00EC683A">
            <w:pPr>
              <w:pStyle w:val="CapStorageParaa"/>
              <w:keepNext/>
              <w:spacing w:after="0"/>
              <w:ind w:firstLine="0"/>
              <w:rPr>
                <w:rFonts w:ascii="Times New Roman" w:hAnsi="Times New Roman" w:cs="Times New Roman"/>
                <w:bCs/>
                <w:szCs w:val="24"/>
              </w:rPr>
            </w:pPr>
          </w:p>
        </w:tc>
        <w:tc>
          <w:tcPr>
            <w:tcW w:w="962" w:type="pct"/>
            <w:vMerge/>
          </w:tcPr>
          <w:p w14:paraId="65D8AE7F" w14:textId="77777777" w:rsidR="00E30D29" w:rsidRPr="00510AD0" w:rsidRDefault="00E30D29" w:rsidP="00EC683A">
            <w:pPr>
              <w:pStyle w:val="CapStorageParaa"/>
              <w:keepNext/>
              <w:spacing w:after="0"/>
              <w:ind w:firstLine="0"/>
              <w:rPr>
                <w:rFonts w:ascii="Times New Roman" w:hAnsi="Times New Roman" w:cs="Times New Roman"/>
                <w:bCs/>
                <w:szCs w:val="24"/>
              </w:rPr>
            </w:pPr>
          </w:p>
        </w:tc>
      </w:tr>
      <w:tr w:rsidR="00E30D29" w:rsidRPr="00510AD0" w14:paraId="2C845078" w14:textId="77777777" w:rsidTr="00EC683A">
        <w:trPr>
          <w:trHeight w:val="647"/>
        </w:trPr>
        <w:tc>
          <w:tcPr>
            <w:tcW w:w="1022" w:type="pct"/>
          </w:tcPr>
          <w:p w14:paraId="75952307" w14:textId="77777777" w:rsidR="00E30D29" w:rsidRPr="00510AD0" w:rsidRDefault="00E30D29" w:rsidP="00EC683A">
            <w:pPr>
              <w:pStyle w:val="CapStorageParaa"/>
              <w:spacing w:after="0"/>
              <w:ind w:firstLine="0"/>
              <w:rPr>
                <w:rFonts w:ascii="Times New Roman" w:hAnsi="Times New Roman" w:cs="Times New Roman"/>
                <w:b/>
                <w:i/>
                <w:iCs/>
                <w:szCs w:val="24"/>
              </w:rPr>
            </w:pPr>
            <w:r w:rsidRPr="00510AD0">
              <w:rPr>
                <w:rFonts w:ascii="Times New Roman" w:hAnsi="Times New Roman" w:cs="Times New Roman"/>
                <w:b/>
                <w:i/>
                <w:iCs/>
                <w:szCs w:val="24"/>
              </w:rPr>
              <w:t>[Insert Month and Year]</w:t>
            </w:r>
          </w:p>
        </w:tc>
        <w:tc>
          <w:tcPr>
            <w:tcW w:w="1061" w:type="pct"/>
          </w:tcPr>
          <w:p w14:paraId="756DC4B7"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MW</w:t>
            </w:r>
          </w:p>
        </w:tc>
        <w:tc>
          <w:tcPr>
            <w:tcW w:w="1061" w:type="pct"/>
          </w:tcPr>
          <w:p w14:paraId="0F20A661"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MW</w:t>
            </w:r>
          </w:p>
        </w:tc>
        <w:tc>
          <w:tcPr>
            <w:tcW w:w="894" w:type="pct"/>
          </w:tcPr>
          <w:p w14:paraId="729BA17D"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MW</w:t>
            </w:r>
          </w:p>
        </w:tc>
        <w:tc>
          <w:tcPr>
            <w:tcW w:w="962" w:type="pct"/>
          </w:tcPr>
          <w:p w14:paraId="578F38D6" w14:textId="77777777" w:rsidR="00E30D29" w:rsidRPr="00510AD0" w:rsidRDefault="00E30D29" w:rsidP="00EC683A">
            <w:pPr>
              <w:pStyle w:val="CapStorageParaa"/>
              <w:keepNext/>
              <w:spacing w:after="0"/>
              <w:ind w:firstLine="0"/>
              <w:rPr>
                <w:rFonts w:ascii="Times New Roman" w:hAnsi="Times New Roman" w:cs="Times New Roman"/>
                <w:bCs/>
                <w:szCs w:val="24"/>
              </w:rPr>
            </w:pPr>
            <w:r w:rsidRPr="00510AD0">
              <w:rPr>
                <w:rFonts w:ascii="Times New Roman" w:hAnsi="Times New Roman" w:cs="Times New Roman"/>
                <w:bCs/>
                <w:szCs w:val="24"/>
                <w:highlight w:val="yellow"/>
              </w:rPr>
              <w:t>___</w:t>
            </w:r>
            <w:r w:rsidRPr="00510AD0">
              <w:rPr>
                <w:rFonts w:ascii="Times New Roman" w:hAnsi="Times New Roman" w:cs="Times New Roman"/>
                <w:bCs/>
                <w:szCs w:val="24"/>
              </w:rPr>
              <w:t xml:space="preserve"> MW</w:t>
            </w:r>
          </w:p>
        </w:tc>
      </w:tr>
      <w:tr w:rsidR="00E30D29" w:rsidRPr="00510AD0" w14:paraId="094D1C92" w14:textId="77777777" w:rsidTr="00EC683A">
        <w:tc>
          <w:tcPr>
            <w:tcW w:w="1022" w:type="pct"/>
          </w:tcPr>
          <w:p w14:paraId="6B0FE68E" w14:textId="77777777" w:rsidR="00E30D29" w:rsidRPr="00510AD0" w:rsidRDefault="00E30D29" w:rsidP="00EC683A">
            <w:pPr>
              <w:pStyle w:val="CapStorageParaa"/>
              <w:spacing w:after="0"/>
              <w:ind w:firstLine="0"/>
              <w:rPr>
                <w:rFonts w:ascii="Times New Roman" w:hAnsi="Times New Roman" w:cs="Times New Roman"/>
                <w:b/>
                <w:i/>
                <w:szCs w:val="24"/>
              </w:rPr>
            </w:pPr>
          </w:p>
        </w:tc>
        <w:tc>
          <w:tcPr>
            <w:tcW w:w="1061" w:type="pct"/>
          </w:tcPr>
          <w:p w14:paraId="5C0CC30E" w14:textId="77777777" w:rsidR="00E30D29" w:rsidRPr="00510AD0" w:rsidRDefault="00E30D29" w:rsidP="00EC683A">
            <w:pPr>
              <w:pStyle w:val="CapStorageParaa"/>
              <w:spacing w:after="0"/>
              <w:ind w:firstLine="0"/>
              <w:rPr>
                <w:rFonts w:ascii="Times New Roman" w:hAnsi="Times New Roman" w:cs="Times New Roman"/>
                <w:bCs/>
                <w:szCs w:val="24"/>
                <w:highlight w:val="yellow"/>
              </w:rPr>
            </w:pPr>
          </w:p>
        </w:tc>
        <w:tc>
          <w:tcPr>
            <w:tcW w:w="1061" w:type="pct"/>
          </w:tcPr>
          <w:p w14:paraId="70A3D875" w14:textId="77777777" w:rsidR="00E30D29" w:rsidRPr="00510AD0" w:rsidRDefault="00E30D29" w:rsidP="00EC683A">
            <w:pPr>
              <w:pStyle w:val="CapStorageParaa"/>
              <w:spacing w:after="0"/>
              <w:ind w:firstLine="0"/>
              <w:rPr>
                <w:rFonts w:ascii="Times New Roman" w:hAnsi="Times New Roman" w:cs="Times New Roman"/>
                <w:bCs/>
                <w:szCs w:val="24"/>
                <w:highlight w:val="yellow"/>
              </w:rPr>
            </w:pPr>
          </w:p>
        </w:tc>
        <w:tc>
          <w:tcPr>
            <w:tcW w:w="894" w:type="pct"/>
          </w:tcPr>
          <w:p w14:paraId="58B401AE" w14:textId="77777777" w:rsidR="00E30D29" w:rsidRPr="00510AD0" w:rsidRDefault="00E30D29" w:rsidP="00EC683A">
            <w:pPr>
              <w:pStyle w:val="CapStorageParaa"/>
              <w:spacing w:after="0"/>
              <w:ind w:firstLine="0"/>
              <w:rPr>
                <w:rFonts w:ascii="Times New Roman" w:hAnsi="Times New Roman" w:cs="Times New Roman"/>
                <w:bCs/>
                <w:szCs w:val="24"/>
                <w:highlight w:val="yellow"/>
              </w:rPr>
            </w:pPr>
          </w:p>
        </w:tc>
        <w:tc>
          <w:tcPr>
            <w:tcW w:w="962" w:type="pct"/>
          </w:tcPr>
          <w:p w14:paraId="0CB14FBF" w14:textId="77777777" w:rsidR="00E30D29" w:rsidRPr="00510AD0" w:rsidRDefault="00E30D29" w:rsidP="00EC683A">
            <w:pPr>
              <w:pStyle w:val="CapStorageParaa"/>
              <w:spacing w:after="0"/>
              <w:ind w:firstLine="0"/>
              <w:rPr>
                <w:rFonts w:ascii="Times New Roman" w:hAnsi="Times New Roman" w:cs="Times New Roman"/>
                <w:bCs/>
                <w:szCs w:val="24"/>
                <w:highlight w:val="yellow"/>
              </w:rPr>
            </w:pPr>
          </w:p>
        </w:tc>
      </w:tr>
    </w:tbl>
    <w:p w14:paraId="5D18D414" w14:textId="4F15C718" w:rsidR="0055205C" w:rsidRPr="00510AD0" w:rsidRDefault="0055205C" w:rsidP="00D26BA7">
      <w:pPr>
        <w:pStyle w:val="BodyTextLeft"/>
      </w:pPr>
    </w:p>
    <w:tbl>
      <w:tblPr>
        <w:tblStyle w:val="TableGrid"/>
        <w:tblW w:w="0" w:type="auto"/>
        <w:tblLook w:val="04A0" w:firstRow="1" w:lastRow="0" w:firstColumn="1" w:lastColumn="0" w:noHBand="0" w:noVBand="1"/>
      </w:tblPr>
      <w:tblGrid>
        <w:gridCol w:w="4675"/>
        <w:gridCol w:w="4675"/>
      </w:tblGrid>
      <w:tr w:rsidR="0055205C" w:rsidRPr="00510AD0" w14:paraId="78734A60" w14:textId="77777777" w:rsidTr="00D9544A">
        <w:tc>
          <w:tcPr>
            <w:tcW w:w="4675" w:type="dxa"/>
          </w:tcPr>
          <w:p w14:paraId="1C8CEEB7" w14:textId="77777777" w:rsidR="0055205C" w:rsidRPr="00510AD0" w:rsidRDefault="0055205C" w:rsidP="00027CC8">
            <w:pPr>
              <w:rPr>
                <w:rFonts w:ascii="Times New Roman" w:hAnsi="Times New Roman" w:cs="Times New Roman"/>
                <w:b/>
                <w:bCs/>
              </w:rPr>
            </w:pPr>
            <w:r w:rsidRPr="00510AD0">
              <w:rPr>
                <w:rFonts w:ascii="Times New Roman" w:hAnsi="Times New Roman" w:cs="Times New Roman"/>
                <w:b/>
                <w:bCs/>
              </w:rPr>
              <w:t>Year</w:t>
            </w:r>
          </w:p>
        </w:tc>
        <w:tc>
          <w:tcPr>
            <w:tcW w:w="4675" w:type="dxa"/>
          </w:tcPr>
          <w:p w14:paraId="65AEA816" w14:textId="77777777" w:rsidR="0055205C" w:rsidRPr="00510AD0" w:rsidRDefault="0055205C" w:rsidP="00027CC8">
            <w:pPr>
              <w:rPr>
                <w:rFonts w:ascii="Times New Roman" w:hAnsi="Times New Roman" w:cs="Times New Roman"/>
                <w:b/>
                <w:bCs/>
              </w:rPr>
            </w:pPr>
            <w:r w:rsidRPr="00510AD0">
              <w:rPr>
                <w:rFonts w:ascii="Times New Roman" w:hAnsi="Times New Roman" w:cs="Times New Roman"/>
                <w:b/>
                <w:bCs/>
              </w:rPr>
              <w:t>Contract Price</w:t>
            </w:r>
          </w:p>
        </w:tc>
      </w:tr>
      <w:tr w:rsidR="0055205C" w:rsidRPr="00510AD0" w14:paraId="5760C5F5" w14:textId="77777777" w:rsidTr="00D9544A">
        <w:tc>
          <w:tcPr>
            <w:tcW w:w="4675" w:type="dxa"/>
          </w:tcPr>
          <w:p w14:paraId="79F944C6" w14:textId="77777777" w:rsidR="0055205C" w:rsidRPr="00510AD0" w:rsidRDefault="0055205C" w:rsidP="00027CC8">
            <w:pPr>
              <w:rPr>
                <w:rFonts w:ascii="Times New Roman" w:hAnsi="Times New Roman" w:cs="Times New Roman"/>
                <w:b/>
                <w:i/>
              </w:rPr>
            </w:pPr>
            <w:r w:rsidRPr="00510AD0">
              <w:rPr>
                <w:rFonts w:ascii="Times New Roman" w:hAnsi="Times New Roman" w:cs="Times New Roman"/>
                <w:b/>
                <w:bCs/>
                <w:i/>
                <w:iCs/>
              </w:rPr>
              <w:t>[Insert Calendar Year]</w:t>
            </w:r>
          </w:p>
        </w:tc>
        <w:tc>
          <w:tcPr>
            <w:tcW w:w="4675" w:type="dxa"/>
          </w:tcPr>
          <w:p w14:paraId="6AD06287" w14:textId="77777777" w:rsidR="0055205C" w:rsidRPr="00510AD0" w:rsidRDefault="0055205C" w:rsidP="00027CC8">
            <w:pPr>
              <w:rPr>
                <w:rFonts w:ascii="Times New Roman" w:hAnsi="Times New Roman" w:cs="Times New Roman"/>
              </w:rPr>
            </w:pPr>
            <w:r w:rsidRPr="00510AD0">
              <w:rPr>
                <w:rFonts w:ascii="Times New Roman" w:hAnsi="Times New Roman" w:cs="Times New Roman"/>
              </w:rPr>
              <w:t>$_</w:t>
            </w:r>
            <w:r w:rsidRPr="00510AD0">
              <w:rPr>
                <w:rFonts w:ascii="Times New Roman" w:hAnsi="Times New Roman" w:cs="Times New Roman"/>
                <w:highlight w:val="yellow"/>
              </w:rPr>
              <w:t>__</w:t>
            </w:r>
            <w:r w:rsidRPr="00510AD0">
              <w:rPr>
                <w:rFonts w:ascii="Times New Roman" w:hAnsi="Times New Roman" w:cs="Times New Roman"/>
              </w:rPr>
              <w:t>_/kw-mo</w:t>
            </w:r>
          </w:p>
        </w:tc>
      </w:tr>
    </w:tbl>
    <w:p w14:paraId="36973E04" w14:textId="77777777" w:rsidR="0055205C" w:rsidRPr="00510AD0" w:rsidRDefault="0055205C" w:rsidP="00D26BA7">
      <w:pPr>
        <w:pStyle w:val="BodyTextLeft"/>
      </w:pPr>
    </w:p>
    <w:p w14:paraId="6332FC83" w14:textId="77777777" w:rsidR="0055205C" w:rsidRPr="00510AD0" w:rsidRDefault="0055205C" w:rsidP="00D26BA7">
      <w:pPr>
        <w:pStyle w:val="Center"/>
        <w:rPr>
          <w:szCs w:val="24"/>
          <w:u w:val="single"/>
        </w:rPr>
      </w:pPr>
      <w:bookmarkStart w:id="897" w:name="_Hlk65603004"/>
      <w:r w:rsidRPr="00510AD0">
        <w:rPr>
          <w:b/>
          <w:szCs w:val="24"/>
        </w:rPr>
        <w:t xml:space="preserve">[D.  </w:t>
      </w:r>
      <w:r w:rsidRPr="00510AD0">
        <w:rPr>
          <w:b/>
          <w:szCs w:val="24"/>
          <w:u w:val="single"/>
        </w:rPr>
        <w:t>ADDITIONAL PROJECT DETAILS]</w:t>
      </w:r>
      <w:bookmarkStart w:id="898" w:name="_Ref69141901"/>
      <w:r w:rsidRPr="00510AD0">
        <w:rPr>
          <w:rStyle w:val="FootnoteReference"/>
          <w:szCs w:val="24"/>
        </w:rPr>
        <w:footnoteReference w:id="57"/>
      </w:r>
      <w:bookmarkEnd w:id="898"/>
    </w:p>
    <w:p w14:paraId="360E1E5C" w14:textId="77777777" w:rsidR="0055205C" w:rsidRPr="00510AD0" w:rsidRDefault="0055205C" w:rsidP="00D26BA7">
      <w:pPr>
        <w:pStyle w:val="BodyTextLeft"/>
      </w:pPr>
      <w:r w:rsidRPr="00510AD0">
        <w:t xml:space="preserve">Contract Heat Rate (MMBtu / MWh): </w:t>
      </w:r>
      <w:r w:rsidRPr="00510AD0">
        <w:rPr>
          <w:highlight w:val="yellow"/>
        </w:rPr>
        <w:t>___________</w:t>
      </w:r>
    </w:p>
    <w:p w14:paraId="56AF710F" w14:textId="77777777" w:rsidR="0055205C" w:rsidRPr="00510AD0" w:rsidRDefault="0055205C" w:rsidP="00D26BA7">
      <w:pPr>
        <w:pStyle w:val="BodyTextLeft"/>
      </w:pPr>
      <w:r w:rsidRPr="00510AD0">
        <w:t xml:space="preserve">Gas Index (e.g., PG&amp;E Citygate):  </w:t>
      </w:r>
      <w:r w:rsidRPr="00510AD0">
        <w:rPr>
          <w:highlight w:val="yellow"/>
        </w:rPr>
        <w:t>___________</w:t>
      </w:r>
    </w:p>
    <w:p w14:paraId="23912AC9" w14:textId="77777777" w:rsidR="0055205C" w:rsidRPr="00510AD0" w:rsidRDefault="0055205C" w:rsidP="00D26BA7">
      <w:pPr>
        <w:pStyle w:val="BodyTextLeft"/>
      </w:pPr>
      <w:r w:rsidRPr="00510AD0">
        <w:t xml:space="preserve">Alternate Gas Index:  </w:t>
      </w:r>
      <w:r w:rsidRPr="00510AD0">
        <w:rPr>
          <w:highlight w:val="yellow"/>
        </w:rPr>
        <w:t>___________</w:t>
      </w:r>
    </w:p>
    <w:p w14:paraId="13232ECC" w14:textId="75C4C051" w:rsidR="0055205C" w:rsidRPr="00510AD0" w:rsidRDefault="0055205C" w:rsidP="00D26BA7">
      <w:pPr>
        <w:pStyle w:val="BodyTextLeft"/>
      </w:pPr>
      <w:r w:rsidRPr="00510AD0">
        <w:t>Gas Transport Charges ($ / MMBtu):</w:t>
      </w:r>
      <w:r w:rsidR="00313023" w:rsidRPr="00510AD0">
        <w:rPr>
          <w:highlight w:val="yellow"/>
        </w:rPr>
        <w:t xml:space="preserve"> ___________</w:t>
      </w:r>
    </w:p>
    <w:tbl>
      <w:tblPr>
        <w:tblStyle w:val="TableGrid"/>
        <w:tblW w:w="5000" w:type="pct"/>
        <w:jc w:val="center"/>
        <w:tblLook w:val="04A0" w:firstRow="1" w:lastRow="0" w:firstColumn="1" w:lastColumn="0" w:noHBand="0" w:noVBand="1"/>
      </w:tblPr>
      <w:tblGrid>
        <w:gridCol w:w="3118"/>
        <w:gridCol w:w="3117"/>
        <w:gridCol w:w="3115"/>
      </w:tblGrid>
      <w:tr w:rsidR="0055205C" w:rsidRPr="00510AD0" w14:paraId="2B1E6DE7" w14:textId="77777777" w:rsidTr="00D26BA7">
        <w:trPr>
          <w:trHeight w:val="278"/>
          <w:jc w:val="center"/>
        </w:trPr>
        <w:tc>
          <w:tcPr>
            <w:tcW w:w="1667" w:type="pct"/>
            <w:shd w:val="clear" w:color="auto" w:fill="F2F2F2" w:themeFill="background1" w:themeFillShade="F2"/>
          </w:tcPr>
          <w:p w14:paraId="47C7106A" w14:textId="77777777" w:rsidR="0055205C" w:rsidRPr="00510AD0" w:rsidRDefault="0055205C" w:rsidP="00027CC8">
            <w:pPr>
              <w:jc w:val="center"/>
              <w:rPr>
                <w:rFonts w:ascii="Times New Roman" w:hAnsi="Times New Roman" w:cs="Times New Roman"/>
                <w:b/>
              </w:rPr>
            </w:pPr>
            <w:r w:rsidRPr="00510AD0">
              <w:rPr>
                <w:rFonts w:ascii="Times New Roman" w:hAnsi="Times New Roman" w:cs="Times New Roman"/>
                <w:b/>
              </w:rPr>
              <w:t>Pipeline</w:t>
            </w:r>
          </w:p>
        </w:tc>
        <w:tc>
          <w:tcPr>
            <w:tcW w:w="1667" w:type="pct"/>
            <w:shd w:val="clear" w:color="auto" w:fill="F2F2F2" w:themeFill="background1" w:themeFillShade="F2"/>
          </w:tcPr>
          <w:p w14:paraId="3ACD9736" w14:textId="77777777" w:rsidR="0055205C" w:rsidRPr="00510AD0" w:rsidRDefault="0055205C" w:rsidP="00027CC8">
            <w:pPr>
              <w:jc w:val="center"/>
              <w:rPr>
                <w:rFonts w:ascii="Times New Roman" w:hAnsi="Times New Roman" w:cs="Times New Roman"/>
                <w:b/>
              </w:rPr>
            </w:pPr>
            <w:r w:rsidRPr="00510AD0">
              <w:rPr>
                <w:rFonts w:ascii="Times New Roman" w:hAnsi="Times New Roman" w:cs="Times New Roman"/>
                <w:b/>
              </w:rPr>
              <w:t>Rate Schedule</w:t>
            </w:r>
          </w:p>
        </w:tc>
        <w:tc>
          <w:tcPr>
            <w:tcW w:w="1667" w:type="pct"/>
            <w:shd w:val="clear" w:color="auto" w:fill="F2F2F2" w:themeFill="background1" w:themeFillShade="F2"/>
          </w:tcPr>
          <w:p w14:paraId="7C2ED140" w14:textId="77777777" w:rsidR="0055205C" w:rsidRPr="00510AD0" w:rsidRDefault="0055205C" w:rsidP="00027CC8">
            <w:pPr>
              <w:jc w:val="center"/>
              <w:rPr>
                <w:rFonts w:ascii="Times New Roman" w:hAnsi="Times New Roman" w:cs="Times New Roman"/>
                <w:b/>
              </w:rPr>
            </w:pPr>
            <w:r w:rsidRPr="00510AD0">
              <w:rPr>
                <w:rFonts w:ascii="Times New Roman" w:hAnsi="Times New Roman" w:cs="Times New Roman"/>
                <w:b/>
              </w:rPr>
              <w:t>Rate</w:t>
            </w:r>
          </w:p>
        </w:tc>
      </w:tr>
      <w:tr w:rsidR="0055205C" w:rsidRPr="00510AD0" w14:paraId="7F8483BC" w14:textId="77777777" w:rsidTr="00D26BA7">
        <w:trPr>
          <w:trHeight w:val="383"/>
          <w:jc w:val="center"/>
        </w:trPr>
        <w:tc>
          <w:tcPr>
            <w:tcW w:w="1667" w:type="pct"/>
          </w:tcPr>
          <w:p w14:paraId="496AEEE4" w14:textId="77777777" w:rsidR="0055205C" w:rsidRPr="00510AD0" w:rsidRDefault="0055205C" w:rsidP="00027CC8">
            <w:pPr>
              <w:jc w:val="center"/>
              <w:rPr>
                <w:rFonts w:ascii="Times New Roman" w:hAnsi="Times New Roman" w:cs="Times New Roman"/>
              </w:rPr>
            </w:pPr>
            <w:r w:rsidRPr="00510AD0">
              <w:rPr>
                <w:rFonts w:ascii="Times New Roman" w:hAnsi="Times New Roman" w:cs="Times New Roman"/>
                <w:b/>
                <w:i/>
              </w:rPr>
              <w:t>[</w:t>
            </w:r>
            <w:r w:rsidRPr="00510AD0">
              <w:rPr>
                <w:rFonts w:ascii="Times New Roman" w:hAnsi="Times New Roman" w:cs="Times New Roman"/>
                <w:b/>
                <w:i/>
                <w:highlight w:val="yellow"/>
              </w:rPr>
              <w:t>Insert</w:t>
            </w:r>
            <w:r w:rsidRPr="00510AD0">
              <w:rPr>
                <w:rFonts w:ascii="Times New Roman" w:hAnsi="Times New Roman" w:cs="Times New Roman"/>
                <w:b/>
                <w:i/>
              </w:rPr>
              <w:t>]</w:t>
            </w:r>
            <w:r w:rsidRPr="00510AD0">
              <w:rPr>
                <w:rFonts w:ascii="Times New Roman" w:hAnsi="Times New Roman" w:cs="Times New Roman"/>
              </w:rPr>
              <w:t xml:space="preserve"> (e.g., PG&amp;E)</w:t>
            </w:r>
          </w:p>
        </w:tc>
        <w:tc>
          <w:tcPr>
            <w:tcW w:w="1667" w:type="pct"/>
          </w:tcPr>
          <w:p w14:paraId="265B6E9B" w14:textId="77777777" w:rsidR="0055205C" w:rsidRPr="00510AD0" w:rsidRDefault="0055205C" w:rsidP="00027CC8">
            <w:pPr>
              <w:jc w:val="center"/>
              <w:rPr>
                <w:rFonts w:ascii="Times New Roman" w:hAnsi="Times New Roman" w:cs="Times New Roman"/>
              </w:rPr>
            </w:pPr>
            <w:r w:rsidRPr="00510AD0">
              <w:rPr>
                <w:rFonts w:ascii="Times New Roman" w:hAnsi="Times New Roman" w:cs="Times New Roman"/>
                <w:b/>
                <w:i/>
              </w:rPr>
              <w:t>[</w:t>
            </w:r>
            <w:r w:rsidRPr="00510AD0">
              <w:rPr>
                <w:rFonts w:ascii="Times New Roman" w:hAnsi="Times New Roman" w:cs="Times New Roman"/>
                <w:b/>
                <w:i/>
                <w:highlight w:val="yellow"/>
              </w:rPr>
              <w:t>Insert</w:t>
            </w:r>
            <w:r w:rsidRPr="00510AD0">
              <w:rPr>
                <w:rFonts w:ascii="Times New Roman" w:hAnsi="Times New Roman" w:cs="Times New Roman"/>
                <w:b/>
                <w:i/>
              </w:rPr>
              <w:t>]</w:t>
            </w:r>
            <w:r w:rsidRPr="00510AD0">
              <w:rPr>
                <w:rFonts w:ascii="Times New Roman" w:hAnsi="Times New Roman" w:cs="Times New Roman"/>
              </w:rPr>
              <w:t xml:space="preserve"> (e.g., G-EG)</w:t>
            </w:r>
          </w:p>
        </w:tc>
        <w:tc>
          <w:tcPr>
            <w:tcW w:w="1667" w:type="pct"/>
          </w:tcPr>
          <w:p w14:paraId="1CAEF89E" w14:textId="77777777" w:rsidR="0055205C" w:rsidRPr="00510AD0" w:rsidRDefault="0055205C" w:rsidP="00027CC8">
            <w:pPr>
              <w:jc w:val="center"/>
              <w:rPr>
                <w:rFonts w:ascii="Times New Roman" w:hAnsi="Times New Roman" w:cs="Times New Roman"/>
              </w:rPr>
            </w:pPr>
            <w:r w:rsidRPr="00510AD0">
              <w:rPr>
                <w:rFonts w:ascii="Times New Roman" w:hAnsi="Times New Roman" w:cs="Times New Roman"/>
                <w:b/>
                <w:i/>
              </w:rPr>
              <w:t>[</w:t>
            </w:r>
            <w:r w:rsidRPr="00510AD0">
              <w:rPr>
                <w:rFonts w:ascii="Times New Roman" w:hAnsi="Times New Roman" w:cs="Times New Roman"/>
                <w:b/>
                <w:i/>
                <w:highlight w:val="yellow"/>
              </w:rPr>
              <w:t>Insert</w:t>
            </w:r>
            <w:r w:rsidRPr="00510AD0">
              <w:rPr>
                <w:rFonts w:ascii="Times New Roman" w:hAnsi="Times New Roman" w:cs="Times New Roman"/>
                <w:b/>
                <w:i/>
              </w:rPr>
              <w:t>]</w:t>
            </w:r>
            <w:r w:rsidRPr="00510AD0">
              <w:rPr>
                <w:rFonts w:ascii="Times New Roman" w:hAnsi="Times New Roman" w:cs="Times New Roman"/>
              </w:rPr>
              <w:t xml:space="preserve"> (e.g., Backbone)</w:t>
            </w:r>
          </w:p>
        </w:tc>
      </w:tr>
      <w:bookmarkEnd w:id="897"/>
    </w:tbl>
    <w:p w14:paraId="19BEC84C" w14:textId="77777777" w:rsidR="0055205C" w:rsidRPr="00510AD0" w:rsidRDefault="0055205C" w:rsidP="00E907E0">
      <w:pPr>
        <w:spacing w:after="240"/>
        <w:rPr>
          <w:color w:val="000000"/>
        </w:rPr>
      </w:pPr>
    </w:p>
    <w:bookmarkEnd w:id="895"/>
    <w:p w14:paraId="4716CEF8" w14:textId="77777777" w:rsidR="0055205C" w:rsidRPr="00510AD0" w:rsidRDefault="0055205C" w:rsidP="00E907E0">
      <w:pPr>
        <w:spacing w:after="240"/>
        <w:sectPr w:rsidR="0055205C" w:rsidRPr="00510AD0" w:rsidSect="0070095F">
          <w:headerReference w:type="default" r:id="rId21"/>
          <w:footerReference w:type="default" r:id="rId22"/>
          <w:pgSz w:w="12240" w:h="15840" w:code="1"/>
          <w:pgMar w:top="1440" w:right="1440" w:bottom="1440" w:left="1440" w:header="432" w:footer="432" w:gutter="0"/>
          <w:pgNumType w:start="1"/>
          <w:cols w:space="720"/>
          <w:docGrid w:linePitch="360"/>
        </w:sectPr>
      </w:pPr>
    </w:p>
    <w:p w14:paraId="5759B8DB" w14:textId="7CF6A36F" w:rsidR="000F1A9C" w:rsidRPr="00510AD0" w:rsidRDefault="0055205C" w:rsidP="00473112">
      <w:pPr>
        <w:pStyle w:val="Appendix"/>
      </w:pPr>
      <w:r w:rsidRPr="00510AD0">
        <w:lastRenderedPageBreak/>
        <w:t>APPENDIX III</w:t>
      </w:r>
      <w:r w:rsidRPr="00510AD0">
        <w:br/>
      </w:r>
      <w:r w:rsidRPr="00510AD0">
        <w:br/>
      </w:r>
      <w:r w:rsidR="00473112" w:rsidRPr="00510AD0">
        <w:t>[RESERVED]</w:t>
      </w:r>
    </w:p>
    <w:p w14:paraId="16A5700F" w14:textId="04B11298" w:rsidR="000F1A9C" w:rsidRPr="00510AD0" w:rsidRDefault="000F1A9C" w:rsidP="00E907E0">
      <w:pPr>
        <w:spacing w:after="240"/>
        <w:jc w:val="center"/>
        <w:rPr>
          <w:b/>
        </w:rPr>
        <w:sectPr w:rsidR="000F1A9C" w:rsidRPr="00510AD0" w:rsidSect="00A513E2">
          <w:headerReference w:type="default" r:id="rId23"/>
          <w:footerReference w:type="default" r:id="rId24"/>
          <w:pgSz w:w="12240" w:h="15840" w:code="1"/>
          <w:pgMar w:top="1440" w:right="1440" w:bottom="1440" w:left="1440" w:header="432" w:footer="432" w:gutter="0"/>
          <w:pgNumType w:start="1"/>
          <w:cols w:space="720"/>
          <w:docGrid w:linePitch="360"/>
        </w:sectPr>
      </w:pPr>
    </w:p>
    <w:p w14:paraId="63C8AF10" w14:textId="77777777" w:rsidR="0055205C" w:rsidRPr="00510AD0" w:rsidRDefault="0055205C" w:rsidP="00027CC8">
      <w:pPr>
        <w:pStyle w:val="Appendix"/>
      </w:pPr>
      <w:r w:rsidRPr="00510AD0">
        <w:lastRenderedPageBreak/>
        <w:t>APPENDIX IV</w:t>
      </w:r>
      <w:r w:rsidRPr="00510AD0">
        <w:br/>
      </w:r>
      <w:r w:rsidRPr="00510AD0">
        <w:br/>
        <w:t>INITIAL DELIVERY DATE CONFIRMATION LETTER</w:t>
      </w:r>
    </w:p>
    <w:p w14:paraId="24F0DAD2" w14:textId="5109557A" w:rsidR="0055205C" w:rsidRPr="00510AD0" w:rsidRDefault="0055205C" w:rsidP="00027CC8">
      <w:pPr>
        <w:pStyle w:val="BodyTextLeft"/>
      </w:pPr>
      <w:r w:rsidRPr="00510AD0">
        <w:t xml:space="preserve">In accordance with the terms of that certain CPE Resource Adequacy Agreement dated _______ (“Agreement”) by and between ___________ (“Buyer”) and ________________ (“Seller”), and Section </w:t>
      </w:r>
      <w:r w:rsidR="00286173" w:rsidRPr="00510AD0">
        <w:fldChar w:fldCharType="begin"/>
      </w:r>
      <w:r w:rsidR="00286173" w:rsidRPr="00510AD0">
        <w:instrText xml:space="preserve">  REF _Ref69141562 \w \h \* MERGEFORMAT </w:instrText>
      </w:r>
      <w:r w:rsidR="00286173" w:rsidRPr="00510AD0">
        <w:fldChar w:fldCharType="separate"/>
      </w:r>
      <w:r w:rsidR="007751F5" w:rsidRPr="00510AD0">
        <w:rPr>
          <w:color w:val="000000"/>
        </w:rPr>
        <w:t>2.2</w:t>
      </w:r>
      <w:r w:rsidR="00286173" w:rsidRPr="00510AD0">
        <w:fldChar w:fldCharType="end"/>
      </w:r>
      <w:r w:rsidRPr="00510AD0">
        <w:t xml:space="preserve"> of that Agreement, this letter (“Initial Delivery Date Confirmation Letter”) serves to document the Parties’ further agreement that the Conditions Precedent to the occurrence of the Initial Delivery Date have been satisfied or waived in writing by Buyer.  All capitalized terms not defined herein shall have the meaning set forth in the Agreement.</w:t>
      </w:r>
    </w:p>
    <w:p w14:paraId="4707743E" w14:textId="77777777" w:rsidR="0055205C" w:rsidRPr="00510AD0" w:rsidRDefault="0055205C" w:rsidP="00027CC8">
      <w:pPr>
        <w:pStyle w:val="BodyTextLeft"/>
      </w:pPr>
      <w:r w:rsidRPr="00510AD0">
        <w:t>Additionally, Seller provides the following FERC Tariff information, if applicable, for reference purposes only:</w:t>
      </w:r>
    </w:p>
    <w:p w14:paraId="04035315" w14:textId="77777777" w:rsidR="0055205C" w:rsidRPr="00510AD0" w:rsidRDefault="0055205C" w:rsidP="00027CC8">
      <w:pPr>
        <w:pStyle w:val="BodyTextLeft"/>
      </w:pPr>
      <w:r w:rsidRPr="00510AD0">
        <w:t>Tariff:                          Dated:                                   Docket Number:</w:t>
      </w:r>
    </w:p>
    <w:p w14:paraId="0E96F6F7" w14:textId="77777777" w:rsidR="0055205C" w:rsidRPr="00510AD0" w:rsidRDefault="0055205C" w:rsidP="00027CC8">
      <w:pPr>
        <w:pStyle w:val="BodyTextLeft"/>
      </w:pPr>
      <w:r w:rsidRPr="00510AD0">
        <w:t>IN WITNESS WHEREOF, each Party has caused this Initial Delivery Date Confirmation Letter to be duly executed by its Authorized Representative as of the date of last signature provided below:</w:t>
      </w:r>
    </w:p>
    <w:tbl>
      <w:tblPr>
        <w:tblW w:w="8928" w:type="dxa"/>
        <w:tblLayout w:type="fixed"/>
        <w:tblLook w:val="00A0" w:firstRow="1" w:lastRow="0" w:firstColumn="1" w:lastColumn="0" w:noHBand="0" w:noVBand="0"/>
      </w:tblPr>
      <w:tblGrid>
        <w:gridCol w:w="1278"/>
        <w:gridCol w:w="3132"/>
        <w:gridCol w:w="1368"/>
        <w:gridCol w:w="3150"/>
      </w:tblGrid>
      <w:tr w:rsidR="0055205C" w:rsidRPr="00510AD0" w14:paraId="5F181B63" w14:textId="77777777" w:rsidTr="00027CC8">
        <w:trPr>
          <w:trHeight w:val="576"/>
        </w:trPr>
        <w:tc>
          <w:tcPr>
            <w:tcW w:w="4410" w:type="dxa"/>
            <w:gridSpan w:val="2"/>
            <w:vAlign w:val="bottom"/>
          </w:tcPr>
          <w:p w14:paraId="508D2D42" w14:textId="77777777" w:rsidR="0055205C" w:rsidRPr="00510AD0" w:rsidRDefault="0055205C" w:rsidP="00027CC8">
            <w:pPr>
              <w:rPr>
                <w:b/>
              </w:rPr>
            </w:pPr>
            <w:r w:rsidRPr="00510AD0">
              <w:rPr>
                <w:b/>
                <w:i/>
              </w:rPr>
              <w:t>[INSERT SELLER’S NAME HERE]</w:t>
            </w:r>
          </w:p>
        </w:tc>
        <w:tc>
          <w:tcPr>
            <w:tcW w:w="4518" w:type="dxa"/>
            <w:gridSpan w:val="2"/>
            <w:vAlign w:val="bottom"/>
          </w:tcPr>
          <w:p w14:paraId="530E1A69" w14:textId="77777777" w:rsidR="0055205C" w:rsidRPr="00510AD0" w:rsidRDefault="0055205C" w:rsidP="00027CC8">
            <w:pPr>
              <w:rPr>
                <w:b/>
              </w:rPr>
            </w:pPr>
            <w:r w:rsidRPr="00510AD0">
              <w:rPr>
                <w:b/>
              </w:rPr>
              <w:t>PACIFIC GAS AND ELECTRIC COMPANY</w:t>
            </w:r>
          </w:p>
        </w:tc>
      </w:tr>
      <w:tr w:rsidR="0055205C" w:rsidRPr="00510AD0" w14:paraId="35361A12" w14:textId="77777777" w:rsidTr="00027CC8">
        <w:trPr>
          <w:trHeight w:val="720"/>
        </w:trPr>
        <w:tc>
          <w:tcPr>
            <w:tcW w:w="1278" w:type="dxa"/>
            <w:vAlign w:val="bottom"/>
          </w:tcPr>
          <w:p w14:paraId="3ADF9EB9" w14:textId="77777777" w:rsidR="0055205C" w:rsidRPr="00510AD0" w:rsidRDefault="0055205C" w:rsidP="00027CC8">
            <w:pPr>
              <w:jc w:val="right"/>
            </w:pPr>
            <w:r w:rsidRPr="00510AD0">
              <w:t>Signature:</w:t>
            </w:r>
          </w:p>
        </w:tc>
        <w:tc>
          <w:tcPr>
            <w:tcW w:w="3132" w:type="dxa"/>
            <w:tcBorders>
              <w:bottom w:val="single" w:sz="4" w:space="0" w:color="auto"/>
            </w:tcBorders>
            <w:vAlign w:val="bottom"/>
          </w:tcPr>
          <w:p w14:paraId="2FD8FF6B" w14:textId="77777777" w:rsidR="0055205C" w:rsidRPr="00510AD0" w:rsidRDefault="0055205C" w:rsidP="00027CC8"/>
        </w:tc>
        <w:tc>
          <w:tcPr>
            <w:tcW w:w="1368" w:type="dxa"/>
            <w:vAlign w:val="bottom"/>
          </w:tcPr>
          <w:p w14:paraId="32CB680A" w14:textId="77777777" w:rsidR="0055205C" w:rsidRPr="00510AD0" w:rsidRDefault="0055205C" w:rsidP="00027CC8">
            <w:pPr>
              <w:jc w:val="right"/>
            </w:pPr>
            <w:r w:rsidRPr="00510AD0">
              <w:t>Signature:</w:t>
            </w:r>
          </w:p>
        </w:tc>
        <w:tc>
          <w:tcPr>
            <w:tcW w:w="3150" w:type="dxa"/>
            <w:tcBorders>
              <w:bottom w:val="single" w:sz="4" w:space="0" w:color="auto"/>
            </w:tcBorders>
            <w:vAlign w:val="bottom"/>
          </w:tcPr>
          <w:p w14:paraId="40631C01" w14:textId="77777777" w:rsidR="0055205C" w:rsidRPr="00510AD0" w:rsidRDefault="0055205C" w:rsidP="00027CC8"/>
        </w:tc>
      </w:tr>
      <w:tr w:rsidR="0055205C" w:rsidRPr="00510AD0" w14:paraId="25EC3BD4" w14:textId="77777777" w:rsidTr="00027CC8">
        <w:trPr>
          <w:trHeight w:val="432"/>
        </w:trPr>
        <w:tc>
          <w:tcPr>
            <w:tcW w:w="1278" w:type="dxa"/>
            <w:vAlign w:val="bottom"/>
          </w:tcPr>
          <w:p w14:paraId="7792F7DB" w14:textId="77777777" w:rsidR="0055205C" w:rsidRPr="00510AD0" w:rsidRDefault="0055205C" w:rsidP="00027CC8">
            <w:pPr>
              <w:jc w:val="right"/>
            </w:pPr>
            <w:r w:rsidRPr="00510AD0">
              <w:t>Name:</w:t>
            </w:r>
          </w:p>
        </w:tc>
        <w:tc>
          <w:tcPr>
            <w:tcW w:w="3132" w:type="dxa"/>
            <w:tcBorders>
              <w:top w:val="single" w:sz="4" w:space="0" w:color="auto"/>
              <w:bottom w:val="single" w:sz="4" w:space="0" w:color="auto"/>
            </w:tcBorders>
            <w:vAlign w:val="bottom"/>
          </w:tcPr>
          <w:p w14:paraId="5C3B8C29" w14:textId="77777777" w:rsidR="0055205C" w:rsidRPr="00510AD0" w:rsidRDefault="0055205C" w:rsidP="00027CC8"/>
        </w:tc>
        <w:tc>
          <w:tcPr>
            <w:tcW w:w="1368" w:type="dxa"/>
            <w:vAlign w:val="bottom"/>
          </w:tcPr>
          <w:p w14:paraId="737CE79E" w14:textId="77777777" w:rsidR="0055205C" w:rsidRPr="00510AD0" w:rsidRDefault="0055205C" w:rsidP="00027CC8">
            <w:pPr>
              <w:jc w:val="right"/>
            </w:pPr>
            <w:r w:rsidRPr="00510AD0">
              <w:t>Name:</w:t>
            </w:r>
          </w:p>
        </w:tc>
        <w:tc>
          <w:tcPr>
            <w:tcW w:w="3150" w:type="dxa"/>
            <w:tcBorders>
              <w:top w:val="single" w:sz="4" w:space="0" w:color="auto"/>
              <w:bottom w:val="single" w:sz="4" w:space="0" w:color="auto"/>
            </w:tcBorders>
            <w:vAlign w:val="bottom"/>
          </w:tcPr>
          <w:p w14:paraId="19CE99BA" w14:textId="77777777" w:rsidR="0055205C" w:rsidRPr="00510AD0" w:rsidRDefault="0055205C" w:rsidP="00027CC8"/>
        </w:tc>
      </w:tr>
      <w:tr w:rsidR="0055205C" w:rsidRPr="00510AD0" w14:paraId="4249414E" w14:textId="77777777" w:rsidTr="00027CC8">
        <w:trPr>
          <w:trHeight w:val="432"/>
        </w:trPr>
        <w:tc>
          <w:tcPr>
            <w:tcW w:w="1278" w:type="dxa"/>
            <w:vAlign w:val="bottom"/>
          </w:tcPr>
          <w:p w14:paraId="72C003E3" w14:textId="77777777" w:rsidR="0055205C" w:rsidRPr="00510AD0" w:rsidRDefault="0055205C" w:rsidP="00027CC8">
            <w:pPr>
              <w:jc w:val="right"/>
            </w:pPr>
            <w:r w:rsidRPr="00510AD0">
              <w:t>Title:</w:t>
            </w:r>
          </w:p>
        </w:tc>
        <w:tc>
          <w:tcPr>
            <w:tcW w:w="3132" w:type="dxa"/>
            <w:tcBorders>
              <w:top w:val="single" w:sz="4" w:space="0" w:color="auto"/>
              <w:bottom w:val="single" w:sz="4" w:space="0" w:color="auto"/>
            </w:tcBorders>
            <w:vAlign w:val="bottom"/>
          </w:tcPr>
          <w:p w14:paraId="4B620D6E" w14:textId="77777777" w:rsidR="0055205C" w:rsidRPr="00510AD0" w:rsidRDefault="0055205C" w:rsidP="00027CC8"/>
        </w:tc>
        <w:tc>
          <w:tcPr>
            <w:tcW w:w="1368" w:type="dxa"/>
            <w:vAlign w:val="bottom"/>
          </w:tcPr>
          <w:p w14:paraId="0BAA1971" w14:textId="77777777" w:rsidR="0055205C" w:rsidRPr="00510AD0" w:rsidRDefault="0055205C" w:rsidP="00027CC8">
            <w:pPr>
              <w:jc w:val="right"/>
            </w:pPr>
            <w:r w:rsidRPr="00510AD0">
              <w:t>Title:</w:t>
            </w:r>
          </w:p>
        </w:tc>
        <w:tc>
          <w:tcPr>
            <w:tcW w:w="3150" w:type="dxa"/>
            <w:tcBorders>
              <w:top w:val="single" w:sz="4" w:space="0" w:color="auto"/>
              <w:bottom w:val="single" w:sz="4" w:space="0" w:color="auto"/>
            </w:tcBorders>
            <w:vAlign w:val="bottom"/>
          </w:tcPr>
          <w:p w14:paraId="179ECDC8" w14:textId="77777777" w:rsidR="0055205C" w:rsidRPr="00510AD0" w:rsidRDefault="0055205C" w:rsidP="00027CC8"/>
        </w:tc>
      </w:tr>
      <w:tr w:rsidR="0055205C" w:rsidRPr="00510AD0" w14:paraId="27A6924E" w14:textId="77777777" w:rsidTr="00027CC8">
        <w:trPr>
          <w:trHeight w:val="432"/>
        </w:trPr>
        <w:tc>
          <w:tcPr>
            <w:tcW w:w="1278" w:type="dxa"/>
            <w:vAlign w:val="bottom"/>
          </w:tcPr>
          <w:p w14:paraId="0F5B2A66" w14:textId="77777777" w:rsidR="0055205C" w:rsidRPr="00510AD0" w:rsidRDefault="0055205C" w:rsidP="00027CC8">
            <w:pPr>
              <w:jc w:val="right"/>
            </w:pPr>
            <w:r w:rsidRPr="00510AD0">
              <w:t>Date:</w:t>
            </w:r>
          </w:p>
        </w:tc>
        <w:tc>
          <w:tcPr>
            <w:tcW w:w="3132" w:type="dxa"/>
            <w:tcBorders>
              <w:top w:val="single" w:sz="4" w:space="0" w:color="auto"/>
              <w:bottom w:val="single" w:sz="4" w:space="0" w:color="auto"/>
            </w:tcBorders>
            <w:vAlign w:val="bottom"/>
          </w:tcPr>
          <w:p w14:paraId="37765576" w14:textId="77777777" w:rsidR="0055205C" w:rsidRPr="00510AD0" w:rsidRDefault="0055205C" w:rsidP="00027CC8"/>
        </w:tc>
        <w:tc>
          <w:tcPr>
            <w:tcW w:w="1368" w:type="dxa"/>
            <w:vAlign w:val="bottom"/>
          </w:tcPr>
          <w:p w14:paraId="51B95181" w14:textId="77777777" w:rsidR="0055205C" w:rsidRPr="00510AD0" w:rsidRDefault="0055205C" w:rsidP="00027CC8">
            <w:pPr>
              <w:jc w:val="right"/>
            </w:pPr>
            <w:r w:rsidRPr="00510AD0">
              <w:t>Date:</w:t>
            </w:r>
          </w:p>
        </w:tc>
        <w:tc>
          <w:tcPr>
            <w:tcW w:w="3150" w:type="dxa"/>
            <w:tcBorders>
              <w:top w:val="single" w:sz="4" w:space="0" w:color="auto"/>
              <w:bottom w:val="single" w:sz="4" w:space="0" w:color="auto"/>
            </w:tcBorders>
            <w:vAlign w:val="bottom"/>
          </w:tcPr>
          <w:p w14:paraId="4D78A033" w14:textId="77777777" w:rsidR="0055205C" w:rsidRPr="00510AD0" w:rsidRDefault="0055205C" w:rsidP="00027CC8"/>
        </w:tc>
      </w:tr>
    </w:tbl>
    <w:p w14:paraId="3C4782A4" w14:textId="77777777" w:rsidR="0055205C" w:rsidRPr="00510AD0" w:rsidRDefault="0055205C" w:rsidP="00E907E0">
      <w:pPr>
        <w:spacing w:after="240"/>
      </w:pPr>
    </w:p>
    <w:p w14:paraId="1E6BB249" w14:textId="77777777" w:rsidR="0055205C" w:rsidRPr="00510AD0" w:rsidRDefault="0055205C" w:rsidP="00E907E0">
      <w:pPr>
        <w:spacing w:after="240"/>
      </w:pPr>
    </w:p>
    <w:p w14:paraId="24A352CB" w14:textId="77777777" w:rsidR="0055205C" w:rsidRPr="00510AD0" w:rsidRDefault="0055205C" w:rsidP="00E907E0">
      <w:pPr>
        <w:spacing w:after="240"/>
        <w:sectPr w:rsidR="0055205C" w:rsidRPr="00510AD0" w:rsidSect="0070095F">
          <w:headerReference w:type="default" r:id="rId25"/>
          <w:footerReference w:type="default" r:id="rId26"/>
          <w:pgSz w:w="12240" w:h="15840"/>
          <w:pgMar w:top="1440" w:right="1440" w:bottom="1440" w:left="1440" w:header="432" w:footer="432" w:gutter="0"/>
          <w:pgNumType w:start="1"/>
          <w:cols w:space="720"/>
          <w:docGrid w:linePitch="360"/>
        </w:sectPr>
      </w:pPr>
    </w:p>
    <w:p w14:paraId="150136B8" w14:textId="77777777" w:rsidR="00E70175" w:rsidRPr="00510AD0" w:rsidRDefault="0055205C" w:rsidP="00E70175">
      <w:pPr>
        <w:pStyle w:val="Appendix"/>
      </w:pPr>
      <w:r w:rsidRPr="00510AD0">
        <w:lastRenderedPageBreak/>
        <w:t>APPENDIX V</w:t>
      </w:r>
      <w:r w:rsidRPr="00510AD0">
        <w:br/>
      </w:r>
      <w:r w:rsidRPr="00510AD0">
        <w:br/>
      </w:r>
      <w:r w:rsidR="00E70175" w:rsidRPr="00510AD0">
        <w:t>[RESERVED]</w:t>
      </w:r>
    </w:p>
    <w:p w14:paraId="39E4D448" w14:textId="6A9CE764" w:rsidR="0055205C" w:rsidRPr="00510AD0" w:rsidRDefault="0055205C" w:rsidP="00D36D71">
      <w:pPr>
        <w:pStyle w:val="Appendix"/>
        <w:jc w:val="left"/>
        <w:outlineLvl w:val="9"/>
      </w:pPr>
    </w:p>
    <w:p w14:paraId="1AB09830" w14:textId="77777777" w:rsidR="0055205C" w:rsidRPr="00510AD0" w:rsidRDefault="0055205C" w:rsidP="00E907E0">
      <w:pPr>
        <w:spacing w:after="240"/>
        <w:rPr>
          <w:b/>
        </w:rPr>
        <w:sectPr w:rsidR="0055205C" w:rsidRPr="00510AD0" w:rsidSect="0070095F">
          <w:headerReference w:type="default" r:id="rId27"/>
          <w:footerReference w:type="default" r:id="rId28"/>
          <w:pgSz w:w="12240" w:h="15840"/>
          <w:pgMar w:top="1440" w:right="1440" w:bottom="1440" w:left="1440" w:header="432" w:footer="432" w:gutter="0"/>
          <w:pgNumType w:start="1"/>
          <w:cols w:space="720"/>
          <w:docGrid w:linePitch="360"/>
        </w:sectPr>
      </w:pPr>
    </w:p>
    <w:p w14:paraId="1226A0CD" w14:textId="1F57FC87" w:rsidR="0055205C" w:rsidRPr="00510AD0" w:rsidRDefault="0055205C" w:rsidP="00E907E0">
      <w:pPr>
        <w:spacing w:after="240"/>
        <w:sectPr w:rsidR="0055205C" w:rsidRPr="00510AD0" w:rsidSect="0070095F">
          <w:headerReference w:type="default" r:id="rId29"/>
          <w:footerReference w:type="default" r:id="rId30"/>
          <w:pgSz w:w="12240" w:h="15840"/>
          <w:pgMar w:top="1440" w:right="1440" w:bottom="1440" w:left="1440" w:header="432" w:footer="432" w:gutter="0"/>
          <w:pgNumType w:start="1"/>
          <w:cols w:space="720"/>
          <w:docGrid w:linePitch="360"/>
        </w:sectPr>
      </w:pPr>
      <w:r w:rsidRPr="00510AD0">
        <w:lastRenderedPageBreak/>
        <w:t>APPENDIX VI</w:t>
      </w:r>
      <w:r w:rsidRPr="00510AD0">
        <w:br/>
      </w:r>
      <w:r w:rsidRPr="00510AD0">
        <w:br/>
        <w:t>ATTESTATIONS &amp; CERTIFICATIONS</w:t>
      </w:r>
    </w:p>
    <w:p w14:paraId="6EF38C05" w14:textId="77777777" w:rsidR="0055205C" w:rsidRPr="00510AD0" w:rsidRDefault="0055205C" w:rsidP="00027CC8">
      <w:pPr>
        <w:pStyle w:val="Appendix"/>
      </w:pPr>
      <w:r w:rsidRPr="00510AD0">
        <w:lastRenderedPageBreak/>
        <w:t>APPENDIX VI-A</w:t>
      </w:r>
      <w:r w:rsidRPr="00510AD0">
        <w:br/>
      </w:r>
      <w:r w:rsidRPr="00510AD0">
        <w:br/>
        <w:t>CERTIFICATION FOR COMMERCIAL OPERATION</w:t>
      </w:r>
    </w:p>
    <w:p w14:paraId="104F9AD3" w14:textId="77777777" w:rsidR="0055205C" w:rsidRPr="00510AD0" w:rsidRDefault="0055205C" w:rsidP="00027CC8">
      <w:pPr>
        <w:pStyle w:val="BodyTextLeft"/>
      </w:pPr>
      <w:r w:rsidRPr="00510AD0">
        <w:t>This certification of commercial operation (“Certification”) is delivered by _______(“Seller”) to Pacific Gas and Electric Company (“Buyer”) in accordance with the terms of that certain CPE Resource Adequacy Agreement dated _______ (“Agreement”) by and between Seller and Buyer.  All capitalized terms used in this Certification but not otherwise defined herein shall have the respective meanings assigned to such terms in the Agreement.</w:t>
      </w:r>
    </w:p>
    <w:p w14:paraId="58F33FA2" w14:textId="77777777" w:rsidR="0055205C" w:rsidRPr="00510AD0" w:rsidRDefault="0055205C" w:rsidP="00DD660F">
      <w:pPr>
        <w:pStyle w:val="BodyText"/>
      </w:pPr>
      <w:r w:rsidRPr="00510AD0">
        <w:t>Seller hereby certifies and represents to Buyer the following:</w:t>
      </w:r>
    </w:p>
    <w:p w14:paraId="06DCFF6C" w14:textId="4609E42F" w:rsidR="0055205C" w:rsidRPr="00510AD0" w:rsidRDefault="0055205C" w:rsidP="00DD660F">
      <w:pPr>
        <w:pStyle w:val="BodyText"/>
      </w:pPr>
      <w:r w:rsidRPr="00510AD0">
        <w:t>(1)</w:t>
      </w:r>
      <w:r w:rsidRPr="00510AD0">
        <w:tab/>
        <w:t xml:space="preserve">The Project became </w:t>
      </w:r>
      <w:r w:rsidR="006808E4" w:rsidRPr="00510AD0">
        <w:t>Commercially Operable</w:t>
      </w:r>
      <w:r w:rsidR="00B768AD" w:rsidRPr="00510AD0">
        <w:t xml:space="preserve"> </w:t>
      </w:r>
      <w:r w:rsidRPr="00510AD0">
        <w:t xml:space="preserve">on </w:t>
      </w:r>
      <w:r w:rsidRPr="00510AD0">
        <w:rPr>
          <w:b/>
          <w:i/>
        </w:rPr>
        <w:t>[           ]</w:t>
      </w:r>
      <w:r w:rsidRPr="00510AD0">
        <w:t xml:space="preserve">. </w:t>
      </w:r>
    </w:p>
    <w:p w14:paraId="673F9658" w14:textId="77777777" w:rsidR="0055205C" w:rsidRPr="00510AD0" w:rsidRDefault="0055205C" w:rsidP="00DD660F">
      <w:pPr>
        <w:pStyle w:val="BodyText"/>
      </w:pPr>
      <w:r w:rsidRPr="00510AD0">
        <w:t>(2)</w:t>
      </w:r>
      <w:r w:rsidRPr="00510AD0">
        <w:tab/>
        <w:t xml:space="preserve">The Project has been constructed in accordance with </w:t>
      </w:r>
      <w:r w:rsidRPr="00510AD0">
        <w:rPr>
          <w:u w:val="single"/>
        </w:rPr>
        <w:t>Appendix II</w:t>
      </w:r>
      <w:r w:rsidRPr="00510AD0">
        <w:t>.</w:t>
      </w:r>
    </w:p>
    <w:p w14:paraId="0D778C15" w14:textId="77777777" w:rsidR="0055205C" w:rsidRPr="00510AD0" w:rsidRDefault="0055205C" w:rsidP="00DD660F">
      <w:pPr>
        <w:pStyle w:val="BodyText"/>
      </w:pPr>
      <w:r w:rsidRPr="00510AD0">
        <w:t xml:space="preserve">(3) </w:t>
      </w:r>
      <w:r w:rsidRPr="00510AD0">
        <w:tab/>
        <w:t>The Project is capable of producing and delivering the Product.</w:t>
      </w:r>
    </w:p>
    <w:p w14:paraId="3E45BA80" w14:textId="2C86B489" w:rsidR="0055205C" w:rsidRPr="00510AD0" w:rsidRDefault="0055205C" w:rsidP="00DD660F">
      <w:pPr>
        <w:pStyle w:val="BodyText"/>
      </w:pPr>
      <w:r w:rsidRPr="00510AD0">
        <w:t>(4)</w:t>
      </w:r>
      <w:r w:rsidRPr="00510AD0">
        <w:tab/>
        <w:t>Project Company</w:t>
      </w:r>
      <w:r w:rsidR="004F63DE" w:rsidRPr="00510AD0">
        <w:t xml:space="preserve"> </w:t>
      </w:r>
      <w:r w:rsidRPr="00510AD0">
        <w:t>has designed and built the Project to have a design life for the Delivery Term in accordance with Prudent Electrical Practices.</w:t>
      </w:r>
    </w:p>
    <w:p w14:paraId="5AD6AEF3" w14:textId="5FA44A8F" w:rsidR="0092603C" w:rsidRPr="00510AD0" w:rsidRDefault="0055205C" w:rsidP="00DD660F">
      <w:pPr>
        <w:pStyle w:val="BodyText"/>
      </w:pPr>
      <w:r w:rsidRPr="00510AD0">
        <w:t>(5)</w:t>
      </w:r>
      <w:r w:rsidRPr="00510AD0">
        <w:tab/>
        <w:t>The design and construction of the Project was carried out by the original equipment manufacturer or other qualified organization.</w:t>
      </w:r>
    </w:p>
    <w:p w14:paraId="5B377633" w14:textId="01BCE201" w:rsidR="0055205C" w:rsidRPr="00510AD0" w:rsidRDefault="0055205C" w:rsidP="00DD660F">
      <w:pPr>
        <w:pStyle w:val="BodyText"/>
      </w:pPr>
      <w:r w:rsidRPr="00510AD0">
        <w:t xml:space="preserve">A certified statement of the Licensed Professional Engineer, attached hereto, has been provided to certify as to the statements in this Certification and Section </w:t>
      </w:r>
      <w:r w:rsidR="00286173" w:rsidRPr="00510AD0">
        <w:fldChar w:fldCharType="begin"/>
      </w:r>
      <w:r w:rsidR="00286173" w:rsidRPr="00510AD0">
        <w:instrText xml:space="preserve">  REF _Ref69141553 \w \h \* MERGEFORMAT </w:instrText>
      </w:r>
      <w:r w:rsidR="00286173" w:rsidRPr="00510AD0">
        <w:fldChar w:fldCharType="separate"/>
      </w:r>
      <w:r w:rsidR="007751F5" w:rsidRPr="00510AD0">
        <w:rPr>
          <w:color w:val="000000"/>
        </w:rPr>
        <w:t>2.1(c)</w:t>
      </w:r>
      <w:r w:rsidR="00286173" w:rsidRPr="00510AD0">
        <w:fldChar w:fldCharType="end"/>
      </w:r>
      <w:r w:rsidRPr="00510AD0">
        <w:t xml:space="preserve"> of the Agreement.</w:t>
      </w:r>
    </w:p>
    <w:p w14:paraId="79BE6BB9" w14:textId="77777777" w:rsidR="0055205C" w:rsidRPr="00510AD0" w:rsidRDefault="0055205C" w:rsidP="00DD660F">
      <w:pPr>
        <w:pStyle w:val="BodyTextLeft"/>
      </w:pPr>
      <w:r w:rsidRPr="00510AD0">
        <w:t>EXECUTED by SELLER this ________ day of _____________, 20__.</w:t>
      </w:r>
    </w:p>
    <w:tbl>
      <w:tblPr>
        <w:tblW w:w="9504" w:type="dxa"/>
        <w:tblLayout w:type="fixed"/>
        <w:tblLook w:val="00A0" w:firstRow="1" w:lastRow="0" w:firstColumn="1" w:lastColumn="0" w:noHBand="0" w:noVBand="0"/>
      </w:tblPr>
      <w:tblGrid>
        <w:gridCol w:w="1278"/>
        <w:gridCol w:w="3477"/>
        <w:gridCol w:w="1275"/>
        <w:gridCol w:w="3474"/>
      </w:tblGrid>
      <w:tr w:rsidR="0055205C" w:rsidRPr="00510AD0" w14:paraId="1CA792E0" w14:textId="77777777" w:rsidTr="006274B4">
        <w:tc>
          <w:tcPr>
            <w:tcW w:w="4755" w:type="dxa"/>
            <w:gridSpan w:val="2"/>
            <w:vAlign w:val="bottom"/>
          </w:tcPr>
          <w:p w14:paraId="19379950" w14:textId="77777777" w:rsidR="0055205C" w:rsidRPr="00510AD0" w:rsidRDefault="0055205C" w:rsidP="00DD660F">
            <w:pPr>
              <w:keepNext/>
              <w:spacing w:before="120"/>
            </w:pPr>
          </w:p>
        </w:tc>
        <w:tc>
          <w:tcPr>
            <w:tcW w:w="4749" w:type="dxa"/>
            <w:gridSpan w:val="2"/>
            <w:vAlign w:val="bottom"/>
          </w:tcPr>
          <w:p w14:paraId="05014458" w14:textId="77777777" w:rsidR="0055205C" w:rsidRPr="00510AD0" w:rsidRDefault="0055205C" w:rsidP="00DD660F">
            <w:pPr>
              <w:keepNext/>
              <w:spacing w:before="120"/>
              <w:rPr>
                <w:b/>
              </w:rPr>
            </w:pPr>
            <w:r w:rsidRPr="00510AD0">
              <w:rPr>
                <w:b/>
              </w:rPr>
              <w:t>[Licensed Professional Engineer]</w:t>
            </w:r>
          </w:p>
        </w:tc>
      </w:tr>
      <w:tr w:rsidR="0055205C" w:rsidRPr="00510AD0" w14:paraId="18D8FBB8" w14:textId="77777777" w:rsidTr="00AB4C5A">
        <w:trPr>
          <w:trHeight w:val="720"/>
        </w:trPr>
        <w:tc>
          <w:tcPr>
            <w:tcW w:w="1278" w:type="dxa"/>
            <w:vAlign w:val="bottom"/>
          </w:tcPr>
          <w:p w14:paraId="63BA69F9" w14:textId="77777777" w:rsidR="0055205C" w:rsidRPr="00510AD0" w:rsidRDefault="0055205C" w:rsidP="00DD660F">
            <w:pPr>
              <w:keepNext/>
              <w:jc w:val="right"/>
            </w:pPr>
            <w:r w:rsidRPr="00510AD0">
              <w:t>Signature:</w:t>
            </w:r>
          </w:p>
        </w:tc>
        <w:tc>
          <w:tcPr>
            <w:tcW w:w="3477" w:type="dxa"/>
            <w:tcBorders>
              <w:bottom w:val="single" w:sz="4" w:space="0" w:color="auto"/>
            </w:tcBorders>
            <w:vAlign w:val="bottom"/>
          </w:tcPr>
          <w:p w14:paraId="0180640E" w14:textId="77777777" w:rsidR="0055205C" w:rsidRPr="00510AD0" w:rsidRDefault="0055205C" w:rsidP="00DD660F">
            <w:pPr>
              <w:keepNext/>
            </w:pPr>
          </w:p>
        </w:tc>
        <w:tc>
          <w:tcPr>
            <w:tcW w:w="1275" w:type="dxa"/>
            <w:vAlign w:val="bottom"/>
          </w:tcPr>
          <w:p w14:paraId="358B2475" w14:textId="77777777" w:rsidR="0055205C" w:rsidRPr="00510AD0" w:rsidRDefault="0055205C" w:rsidP="00DD660F">
            <w:pPr>
              <w:keepNext/>
              <w:jc w:val="right"/>
            </w:pPr>
            <w:r w:rsidRPr="00510AD0">
              <w:t>Signature:</w:t>
            </w:r>
          </w:p>
        </w:tc>
        <w:tc>
          <w:tcPr>
            <w:tcW w:w="3474" w:type="dxa"/>
            <w:tcBorders>
              <w:bottom w:val="single" w:sz="4" w:space="0" w:color="auto"/>
            </w:tcBorders>
            <w:vAlign w:val="bottom"/>
          </w:tcPr>
          <w:p w14:paraId="36027F43" w14:textId="77777777" w:rsidR="0055205C" w:rsidRPr="00510AD0" w:rsidRDefault="0055205C" w:rsidP="00DD660F">
            <w:pPr>
              <w:keepNext/>
            </w:pPr>
          </w:p>
        </w:tc>
      </w:tr>
      <w:tr w:rsidR="0055205C" w:rsidRPr="00510AD0" w14:paraId="09B645DB" w14:textId="77777777" w:rsidTr="00AB4C5A">
        <w:trPr>
          <w:trHeight w:val="432"/>
        </w:trPr>
        <w:tc>
          <w:tcPr>
            <w:tcW w:w="1278" w:type="dxa"/>
            <w:vAlign w:val="bottom"/>
          </w:tcPr>
          <w:p w14:paraId="573D752B" w14:textId="77777777" w:rsidR="0055205C" w:rsidRPr="00510AD0" w:rsidRDefault="0055205C" w:rsidP="00DD660F">
            <w:pPr>
              <w:keepNext/>
              <w:jc w:val="right"/>
            </w:pPr>
            <w:r w:rsidRPr="00510AD0">
              <w:t>Name:</w:t>
            </w:r>
          </w:p>
        </w:tc>
        <w:tc>
          <w:tcPr>
            <w:tcW w:w="3477" w:type="dxa"/>
            <w:tcBorders>
              <w:top w:val="single" w:sz="4" w:space="0" w:color="auto"/>
              <w:bottom w:val="single" w:sz="4" w:space="0" w:color="auto"/>
            </w:tcBorders>
            <w:vAlign w:val="bottom"/>
          </w:tcPr>
          <w:p w14:paraId="6BC4DCB8" w14:textId="77777777" w:rsidR="0055205C" w:rsidRPr="00510AD0" w:rsidRDefault="0055205C" w:rsidP="00DD660F">
            <w:pPr>
              <w:keepNext/>
            </w:pPr>
          </w:p>
        </w:tc>
        <w:tc>
          <w:tcPr>
            <w:tcW w:w="1275" w:type="dxa"/>
            <w:vAlign w:val="bottom"/>
          </w:tcPr>
          <w:p w14:paraId="7A546079" w14:textId="77777777" w:rsidR="0055205C" w:rsidRPr="00510AD0" w:rsidRDefault="0055205C" w:rsidP="00DD660F">
            <w:pPr>
              <w:keepNext/>
              <w:jc w:val="right"/>
            </w:pPr>
            <w:r w:rsidRPr="00510AD0">
              <w:t>Name:</w:t>
            </w:r>
          </w:p>
        </w:tc>
        <w:tc>
          <w:tcPr>
            <w:tcW w:w="3474" w:type="dxa"/>
            <w:tcBorders>
              <w:top w:val="single" w:sz="4" w:space="0" w:color="auto"/>
              <w:bottom w:val="single" w:sz="4" w:space="0" w:color="auto"/>
            </w:tcBorders>
            <w:vAlign w:val="bottom"/>
          </w:tcPr>
          <w:p w14:paraId="1205F5E0" w14:textId="77777777" w:rsidR="0055205C" w:rsidRPr="00510AD0" w:rsidRDefault="0055205C" w:rsidP="00DD660F">
            <w:pPr>
              <w:keepNext/>
            </w:pPr>
          </w:p>
        </w:tc>
      </w:tr>
      <w:tr w:rsidR="0055205C" w:rsidRPr="00510AD0" w14:paraId="0A92B7D4" w14:textId="77777777" w:rsidTr="00AB4C5A">
        <w:trPr>
          <w:trHeight w:val="432"/>
        </w:trPr>
        <w:tc>
          <w:tcPr>
            <w:tcW w:w="1278" w:type="dxa"/>
            <w:vAlign w:val="bottom"/>
          </w:tcPr>
          <w:p w14:paraId="30A28DDE" w14:textId="77777777" w:rsidR="0055205C" w:rsidRPr="00510AD0" w:rsidRDefault="0055205C" w:rsidP="00DD660F">
            <w:pPr>
              <w:keepNext/>
              <w:jc w:val="right"/>
            </w:pPr>
            <w:r w:rsidRPr="00510AD0">
              <w:t>Title:</w:t>
            </w:r>
          </w:p>
        </w:tc>
        <w:tc>
          <w:tcPr>
            <w:tcW w:w="3477" w:type="dxa"/>
            <w:tcBorders>
              <w:top w:val="single" w:sz="4" w:space="0" w:color="auto"/>
              <w:bottom w:val="single" w:sz="4" w:space="0" w:color="auto"/>
            </w:tcBorders>
            <w:vAlign w:val="bottom"/>
          </w:tcPr>
          <w:p w14:paraId="67295709" w14:textId="77777777" w:rsidR="0055205C" w:rsidRPr="00510AD0" w:rsidRDefault="0055205C" w:rsidP="00DD660F">
            <w:pPr>
              <w:keepNext/>
            </w:pPr>
          </w:p>
        </w:tc>
        <w:tc>
          <w:tcPr>
            <w:tcW w:w="1275" w:type="dxa"/>
            <w:vAlign w:val="bottom"/>
          </w:tcPr>
          <w:p w14:paraId="37FCE8DC" w14:textId="77777777" w:rsidR="0055205C" w:rsidRPr="00510AD0" w:rsidRDefault="0055205C" w:rsidP="00DD660F">
            <w:pPr>
              <w:keepNext/>
              <w:jc w:val="right"/>
            </w:pPr>
            <w:r w:rsidRPr="00510AD0">
              <w:t>Title:</w:t>
            </w:r>
          </w:p>
        </w:tc>
        <w:tc>
          <w:tcPr>
            <w:tcW w:w="3474" w:type="dxa"/>
            <w:tcBorders>
              <w:top w:val="single" w:sz="4" w:space="0" w:color="auto"/>
              <w:bottom w:val="single" w:sz="4" w:space="0" w:color="auto"/>
            </w:tcBorders>
            <w:vAlign w:val="bottom"/>
          </w:tcPr>
          <w:p w14:paraId="7C7E0BAC" w14:textId="77777777" w:rsidR="0055205C" w:rsidRPr="00510AD0" w:rsidRDefault="0055205C" w:rsidP="00DD660F">
            <w:pPr>
              <w:keepNext/>
            </w:pPr>
          </w:p>
        </w:tc>
      </w:tr>
      <w:tr w:rsidR="0055205C" w:rsidRPr="00510AD0" w14:paraId="39658DFD" w14:textId="77777777" w:rsidTr="00AB4C5A">
        <w:trPr>
          <w:trHeight w:val="432"/>
        </w:trPr>
        <w:tc>
          <w:tcPr>
            <w:tcW w:w="1278" w:type="dxa"/>
            <w:vAlign w:val="bottom"/>
          </w:tcPr>
          <w:p w14:paraId="39A2FAAF" w14:textId="77777777" w:rsidR="0055205C" w:rsidRPr="00510AD0" w:rsidRDefault="0055205C" w:rsidP="00DD660F">
            <w:pPr>
              <w:keepNext/>
              <w:jc w:val="right"/>
            </w:pPr>
          </w:p>
        </w:tc>
        <w:tc>
          <w:tcPr>
            <w:tcW w:w="3477" w:type="dxa"/>
            <w:tcBorders>
              <w:top w:val="single" w:sz="4" w:space="0" w:color="auto"/>
            </w:tcBorders>
            <w:vAlign w:val="bottom"/>
          </w:tcPr>
          <w:p w14:paraId="3C77EE08" w14:textId="77777777" w:rsidR="0055205C" w:rsidRPr="00510AD0" w:rsidRDefault="0055205C" w:rsidP="00DD660F">
            <w:pPr>
              <w:keepNext/>
            </w:pPr>
          </w:p>
        </w:tc>
        <w:tc>
          <w:tcPr>
            <w:tcW w:w="1275" w:type="dxa"/>
            <w:vAlign w:val="bottom"/>
          </w:tcPr>
          <w:p w14:paraId="5FF3764E" w14:textId="77777777" w:rsidR="0055205C" w:rsidRPr="00510AD0" w:rsidRDefault="0055205C" w:rsidP="00DD660F">
            <w:pPr>
              <w:keepNext/>
              <w:jc w:val="right"/>
            </w:pPr>
            <w:r w:rsidRPr="00510AD0">
              <w:t>Date:</w:t>
            </w:r>
          </w:p>
        </w:tc>
        <w:tc>
          <w:tcPr>
            <w:tcW w:w="3474" w:type="dxa"/>
            <w:tcBorders>
              <w:top w:val="single" w:sz="4" w:space="0" w:color="auto"/>
              <w:bottom w:val="single" w:sz="4" w:space="0" w:color="auto"/>
            </w:tcBorders>
            <w:vAlign w:val="bottom"/>
          </w:tcPr>
          <w:p w14:paraId="1A0E8087" w14:textId="77777777" w:rsidR="0055205C" w:rsidRPr="00510AD0" w:rsidRDefault="0055205C" w:rsidP="00DD660F">
            <w:pPr>
              <w:keepNext/>
            </w:pPr>
          </w:p>
        </w:tc>
      </w:tr>
      <w:tr w:rsidR="0055205C" w:rsidRPr="00510AD0" w14:paraId="2898B6EA" w14:textId="77777777" w:rsidTr="00AB4C5A">
        <w:trPr>
          <w:trHeight w:val="432"/>
        </w:trPr>
        <w:tc>
          <w:tcPr>
            <w:tcW w:w="1278" w:type="dxa"/>
            <w:vAlign w:val="bottom"/>
          </w:tcPr>
          <w:p w14:paraId="0804FFAD" w14:textId="77777777" w:rsidR="0055205C" w:rsidRPr="00510AD0" w:rsidRDefault="0055205C" w:rsidP="00DD660F">
            <w:pPr>
              <w:keepNext/>
              <w:jc w:val="right"/>
            </w:pPr>
          </w:p>
        </w:tc>
        <w:tc>
          <w:tcPr>
            <w:tcW w:w="3477" w:type="dxa"/>
            <w:tcBorders>
              <w:top w:val="single" w:sz="4" w:space="0" w:color="auto"/>
            </w:tcBorders>
            <w:vAlign w:val="bottom"/>
          </w:tcPr>
          <w:p w14:paraId="42D13E61" w14:textId="77777777" w:rsidR="0055205C" w:rsidRPr="00510AD0" w:rsidRDefault="0055205C" w:rsidP="00DD660F">
            <w:pPr>
              <w:keepNext/>
            </w:pPr>
          </w:p>
        </w:tc>
        <w:tc>
          <w:tcPr>
            <w:tcW w:w="1275" w:type="dxa"/>
            <w:vAlign w:val="bottom"/>
          </w:tcPr>
          <w:p w14:paraId="7052E15B" w14:textId="77777777" w:rsidR="0055205C" w:rsidRPr="00510AD0" w:rsidRDefault="0055205C" w:rsidP="00DD660F">
            <w:pPr>
              <w:keepNext/>
              <w:jc w:val="right"/>
            </w:pPr>
            <w:r w:rsidRPr="00510AD0">
              <w:t>License Number</w:t>
            </w:r>
          </w:p>
        </w:tc>
        <w:tc>
          <w:tcPr>
            <w:tcW w:w="3474" w:type="dxa"/>
            <w:tcBorders>
              <w:top w:val="single" w:sz="4" w:space="0" w:color="auto"/>
              <w:bottom w:val="single" w:sz="4" w:space="0" w:color="auto"/>
            </w:tcBorders>
            <w:vAlign w:val="bottom"/>
          </w:tcPr>
          <w:p w14:paraId="369C6342" w14:textId="77777777" w:rsidR="0055205C" w:rsidRPr="00510AD0" w:rsidRDefault="0055205C" w:rsidP="00DD660F">
            <w:pPr>
              <w:keepNext/>
            </w:pPr>
          </w:p>
        </w:tc>
      </w:tr>
      <w:tr w:rsidR="0055205C" w:rsidRPr="00510AD0" w14:paraId="09F792AA" w14:textId="77777777" w:rsidTr="00AB4C5A">
        <w:trPr>
          <w:trHeight w:val="432"/>
        </w:trPr>
        <w:tc>
          <w:tcPr>
            <w:tcW w:w="1278" w:type="dxa"/>
            <w:vAlign w:val="bottom"/>
          </w:tcPr>
          <w:p w14:paraId="05AE03FB" w14:textId="77777777" w:rsidR="0055205C" w:rsidRPr="00510AD0" w:rsidRDefault="0055205C" w:rsidP="00DD660F">
            <w:pPr>
              <w:jc w:val="right"/>
            </w:pPr>
          </w:p>
        </w:tc>
        <w:tc>
          <w:tcPr>
            <w:tcW w:w="4752" w:type="dxa"/>
            <w:gridSpan w:val="2"/>
            <w:vAlign w:val="bottom"/>
          </w:tcPr>
          <w:p w14:paraId="7FDB66E8" w14:textId="77777777" w:rsidR="0055205C" w:rsidRPr="00510AD0" w:rsidRDefault="0055205C" w:rsidP="00DD660F">
            <w:pPr>
              <w:jc w:val="right"/>
            </w:pPr>
            <w:r w:rsidRPr="00510AD0">
              <w:t>LPE Stamp</w:t>
            </w:r>
          </w:p>
        </w:tc>
        <w:tc>
          <w:tcPr>
            <w:tcW w:w="3474" w:type="dxa"/>
            <w:tcBorders>
              <w:top w:val="single" w:sz="4" w:space="0" w:color="auto"/>
              <w:bottom w:val="single" w:sz="4" w:space="0" w:color="auto"/>
            </w:tcBorders>
            <w:vAlign w:val="bottom"/>
          </w:tcPr>
          <w:p w14:paraId="1F07D15D" w14:textId="77777777" w:rsidR="0055205C" w:rsidRPr="00510AD0" w:rsidRDefault="0055205C" w:rsidP="00DD660F"/>
        </w:tc>
      </w:tr>
    </w:tbl>
    <w:p w14:paraId="79C227DF" w14:textId="77777777" w:rsidR="0055205C" w:rsidRPr="00510AD0" w:rsidRDefault="0055205C" w:rsidP="00E907E0">
      <w:pPr>
        <w:spacing w:after="240"/>
        <w:rPr>
          <w:b/>
          <w:bCs/>
        </w:rPr>
      </w:pPr>
    </w:p>
    <w:p w14:paraId="288084FB" w14:textId="77777777" w:rsidR="0055205C" w:rsidRPr="00510AD0" w:rsidRDefault="0055205C" w:rsidP="00E907E0">
      <w:pPr>
        <w:spacing w:after="240"/>
        <w:rPr>
          <w:b/>
          <w:bCs/>
        </w:rPr>
        <w:sectPr w:rsidR="0055205C" w:rsidRPr="00510AD0" w:rsidSect="0070095F">
          <w:headerReference w:type="default" r:id="rId31"/>
          <w:footerReference w:type="default" r:id="rId32"/>
          <w:pgSz w:w="12240" w:h="15840"/>
          <w:pgMar w:top="1440" w:right="1440" w:bottom="1440" w:left="1440" w:header="432" w:footer="432" w:gutter="0"/>
          <w:pgNumType w:start="1"/>
          <w:cols w:space="720"/>
          <w:docGrid w:linePitch="360"/>
        </w:sectPr>
      </w:pPr>
    </w:p>
    <w:p w14:paraId="657A6B78" w14:textId="45BD4A5E" w:rsidR="0055205C" w:rsidRPr="00510AD0" w:rsidRDefault="0055205C" w:rsidP="00DD660F">
      <w:pPr>
        <w:pStyle w:val="Appendix"/>
        <w:rPr>
          <w:b w:val="0"/>
        </w:rPr>
      </w:pPr>
      <w:r w:rsidRPr="00510AD0">
        <w:lastRenderedPageBreak/>
        <w:t>APPENDIX VI-B</w:t>
      </w:r>
      <w:r w:rsidRPr="00510AD0">
        <w:br/>
      </w:r>
      <w:r w:rsidRPr="00510AD0">
        <w:br/>
      </w:r>
      <w:r w:rsidR="00E62639" w:rsidRPr="00510AD0">
        <w:t>[RESERVED]</w:t>
      </w:r>
    </w:p>
    <w:p w14:paraId="1B2A8214" w14:textId="77777777" w:rsidR="0055205C" w:rsidRPr="00510AD0" w:rsidRDefault="0055205C" w:rsidP="00E907E0">
      <w:pPr>
        <w:spacing w:after="240"/>
        <w:rPr>
          <w:b/>
        </w:rPr>
      </w:pPr>
    </w:p>
    <w:p w14:paraId="48CCE6AC" w14:textId="77777777" w:rsidR="0055205C" w:rsidRPr="00510AD0" w:rsidRDefault="0055205C" w:rsidP="00E907E0">
      <w:pPr>
        <w:spacing w:after="240"/>
        <w:rPr>
          <w:b/>
        </w:rPr>
        <w:sectPr w:rsidR="0055205C" w:rsidRPr="00510AD0" w:rsidSect="0070095F">
          <w:headerReference w:type="default" r:id="rId33"/>
          <w:footerReference w:type="default" r:id="rId34"/>
          <w:pgSz w:w="12240" w:h="15840"/>
          <w:pgMar w:top="1440" w:right="1440" w:bottom="1440" w:left="1440" w:header="432" w:footer="432" w:gutter="0"/>
          <w:pgNumType w:start="1"/>
          <w:cols w:space="720"/>
          <w:docGrid w:linePitch="360"/>
        </w:sectPr>
      </w:pPr>
    </w:p>
    <w:p w14:paraId="77BA312B" w14:textId="1BE0B73E" w:rsidR="0055205C" w:rsidRPr="00510AD0" w:rsidRDefault="0055205C" w:rsidP="00DD660F">
      <w:pPr>
        <w:pStyle w:val="Appendix"/>
      </w:pPr>
      <w:r w:rsidRPr="00510AD0">
        <w:lastRenderedPageBreak/>
        <w:t>APPENDIX VI-C</w:t>
      </w:r>
      <w:r w:rsidRPr="00510AD0">
        <w:br/>
      </w:r>
      <w:r w:rsidRPr="00510AD0">
        <w:br/>
      </w:r>
      <w:bookmarkStart w:id="903" w:name="_DV_M797"/>
      <w:bookmarkEnd w:id="903"/>
      <w:r w:rsidR="00E62639" w:rsidRPr="00510AD0">
        <w:t>[RESERVED]</w:t>
      </w:r>
    </w:p>
    <w:p w14:paraId="33B10B55" w14:textId="77777777" w:rsidR="0055205C" w:rsidRPr="00510AD0" w:rsidRDefault="0055205C" w:rsidP="00E907E0">
      <w:pPr>
        <w:spacing w:after="240"/>
        <w:sectPr w:rsidR="0055205C" w:rsidRPr="00510AD0" w:rsidSect="0070095F">
          <w:headerReference w:type="default" r:id="rId35"/>
          <w:footerReference w:type="default" r:id="rId36"/>
          <w:pgSz w:w="12240" w:h="15840"/>
          <w:pgMar w:top="1440" w:right="1440" w:bottom="1440" w:left="1440" w:header="432" w:footer="432" w:gutter="0"/>
          <w:pgNumType w:start="1"/>
          <w:cols w:space="720"/>
          <w:docGrid w:linePitch="360"/>
        </w:sectPr>
      </w:pPr>
    </w:p>
    <w:p w14:paraId="2A0C8B02" w14:textId="246F9C43" w:rsidR="0055205C" w:rsidRPr="00510AD0" w:rsidRDefault="0055205C" w:rsidP="00DD660F">
      <w:pPr>
        <w:pStyle w:val="Appendix"/>
      </w:pPr>
      <w:r w:rsidRPr="00510AD0">
        <w:lastRenderedPageBreak/>
        <w:t>APPENDIX VI-D</w:t>
      </w:r>
      <w:r w:rsidRPr="00510AD0">
        <w:br/>
      </w:r>
      <w:r w:rsidRPr="00510AD0">
        <w:br/>
      </w:r>
      <w:r w:rsidR="0097450C" w:rsidRPr="00510AD0">
        <w:t>[RESERVED]</w:t>
      </w:r>
    </w:p>
    <w:p w14:paraId="7C1657B3" w14:textId="77777777" w:rsidR="0055205C" w:rsidRPr="00510AD0" w:rsidRDefault="0055205C" w:rsidP="005B6417">
      <w:pPr>
        <w:spacing w:after="240"/>
        <w:rPr>
          <w:b/>
        </w:rPr>
      </w:pPr>
      <w:bookmarkStart w:id="905" w:name="_Hlk65000507"/>
    </w:p>
    <w:p w14:paraId="002F7B32" w14:textId="77777777" w:rsidR="0055205C" w:rsidRPr="00510AD0" w:rsidRDefault="0055205C" w:rsidP="00E907E0">
      <w:pPr>
        <w:spacing w:after="240"/>
        <w:rPr>
          <w:b/>
        </w:rPr>
      </w:pPr>
    </w:p>
    <w:bookmarkEnd w:id="905"/>
    <w:p w14:paraId="3895E8BC" w14:textId="77777777" w:rsidR="0055205C" w:rsidRPr="00510AD0" w:rsidRDefault="0055205C" w:rsidP="00E907E0">
      <w:pPr>
        <w:spacing w:after="240"/>
        <w:rPr>
          <w:b/>
        </w:rPr>
        <w:sectPr w:rsidR="0055205C" w:rsidRPr="00510AD0" w:rsidSect="0070095F">
          <w:headerReference w:type="default" r:id="rId37"/>
          <w:footerReference w:type="default" r:id="rId38"/>
          <w:pgSz w:w="12240" w:h="15840"/>
          <w:pgMar w:top="1440" w:right="1440" w:bottom="1440" w:left="1440" w:header="432" w:footer="432" w:gutter="0"/>
          <w:pgNumType w:start="1"/>
          <w:cols w:space="720"/>
          <w:docGrid w:linePitch="360"/>
        </w:sectPr>
      </w:pPr>
    </w:p>
    <w:p w14:paraId="6A0E3748" w14:textId="76340C29" w:rsidR="0055205C" w:rsidRPr="00510AD0" w:rsidRDefault="0055205C" w:rsidP="00DD660F">
      <w:pPr>
        <w:pStyle w:val="Appendix"/>
      </w:pPr>
      <w:r w:rsidRPr="00510AD0">
        <w:lastRenderedPageBreak/>
        <w:t>APPENDIX VII</w:t>
      </w:r>
      <w:r w:rsidRPr="00510AD0">
        <w:br/>
      </w:r>
      <w:r w:rsidRPr="00510AD0">
        <w:br/>
      </w:r>
      <w:r w:rsidR="001F6795" w:rsidRPr="00510AD0">
        <w:t>LETTER OF CREDIT AND GUARANTY FORMS</w:t>
      </w:r>
      <w:r w:rsidR="009D0A06" w:rsidRPr="00510AD0">
        <w:rPr>
          <w:rStyle w:val="FootnoteReference"/>
        </w:rPr>
        <w:footnoteReference w:id="58"/>
      </w:r>
    </w:p>
    <w:p w14:paraId="3E6BBC38" w14:textId="77777777" w:rsidR="0055205C" w:rsidRPr="00510AD0" w:rsidRDefault="0055205C" w:rsidP="00AB4C5A">
      <w:pPr>
        <w:pStyle w:val="BodyTextLeft"/>
      </w:pPr>
    </w:p>
    <w:p w14:paraId="46207BDF" w14:textId="77777777" w:rsidR="0055205C" w:rsidRPr="00510AD0" w:rsidRDefault="0055205C" w:rsidP="00E907E0">
      <w:pPr>
        <w:spacing w:after="240"/>
        <w:jc w:val="center"/>
        <w:rPr>
          <w:b/>
        </w:rPr>
        <w:sectPr w:rsidR="0055205C" w:rsidRPr="00510AD0" w:rsidSect="0070095F">
          <w:headerReference w:type="default" r:id="rId39"/>
          <w:footerReference w:type="default" r:id="rId40"/>
          <w:pgSz w:w="12240" w:h="15840"/>
          <w:pgMar w:top="1440" w:right="1440" w:bottom="1440" w:left="1440" w:header="432" w:footer="432" w:gutter="0"/>
          <w:pgNumType w:start="1"/>
          <w:cols w:space="720"/>
          <w:docGrid w:linePitch="360"/>
        </w:sectPr>
      </w:pPr>
    </w:p>
    <w:p w14:paraId="673CF772" w14:textId="77777777" w:rsidR="0055205C" w:rsidRPr="00510AD0" w:rsidRDefault="0055205C" w:rsidP="00DD660F">
      <w:pPr>
        <w:pStyle w:val="Appendix"/>
      </w:pPr>
      <w:r w:rsidRPr="00510AD0">
        <w:lastRenderedPageBreak/>
        <w:t>APPENDIX VII-A</w:t>
      </w:r>
      <w:bookmarkStart w:id="907" w:name="_DV_M680"/>
      <w:bookmarkEnd w:id="907"/>
      <w:r w:rsidRPr="00510AD0">
        <w:br/>
      </w:r>
      <w:r w:rsidRPr="00510AD0">
        <w:br/>
        <w:t>FORM OF LETTER OF CREDIT</w:t>
      </w:r>
    </w:p>
    <w:p w14:paraId="28EDBDA9" w14:textId="77777777" w:rsidR="0055205C" w:rsidRPr="00510AD0" w:rsidRDefault="0055205C" w:rsidP="00E907E0">
      <w:pPr>
        <w:spacing w:after="240"/>
        <w:jc w:val="center"/>
        <w:rPr>
          <w:b/>
          <w:i/>
        </w:rPr>
      </w:pPr>
      <w:bookmarkStart w:id="908" w:name="_DV_M681"/>
      <w:bookmarkEnd w:id="908"/>
      <w:r w:rsidRPr="00510AD0">
        <w:rPr>
          <w:b/>
          <w:i/>
          <w:color w:val="0000FF"/>
        </w:rPr>
        <w:t>Issuing Bank Letterhead and Address</w:t>
      </w:r>
    </w:p>
    <w:p w14:paraId="4391CFCA" w14:textId="77777777" w:rsidR="0055205C" w:rsidRPr="00510AD0" w:rsidRDefault="0055205C" w:rsidP="00AB4C5A">
      <w:pPr>
        <w:pStyle w:val="BodyTextLeft"/>
      </w:pPr>
      <w:r w:rsidRPr="00510AD0">
        <w:rPr>
          <w:b/>
        </w:rPr>
        <w:t>STANDBY LETTER OF CREDIT NO.</w:t>
      </w:r>
      <w:r w:rsidRPr="00510AD0">
        <w:t xml:space="preserve"> XXXXXXXX</w:t>
      </w:r>
    </w:p>
    <w:p w14:paraId="4BDD5897" w14:textId="77777777" w:rsidR="0055205C" w:rsidRPr="00510AD0" w:rsidRDefault="0055205C" w:rsidP="00AB4C5A">
      <w:pPr>
        <w:pStyle w:val="BodyTextLeft"/>
      </w:pPr>
      <w:r w:rsidRPr="00510AD0">
        <w:rPr>
          <w:b/>
        </w:rPr>
        <w:t>Date:</w:t>
      </w:r>
      <w:r w:rsidRPr="00510AD0">
        <w:t xml:space="preserve">  </w:t>
      </w:r>
      <w:r w:rsidRPr="00510AD0">
        <w:rPr>
          <w:b/>
          <w:i/>
          <w:color w:val="0000FF"/>
        </w:rPr>
        <w:t>[insert issue date]</w:t>
      </w:r>
    </w:p>
    <w:tbl>
      <w:tblPr>
        <w:tblW w:w="0" w:type="auto"/>
        <w:tblLayout w:type="fixed"/>
        <w:tblLook w:val="01E0" w:firstRow="1" w:lastRow="1" w:firstColumn="1" w:lastColumn="1" w:noHBand="0" w:noVBand="0"/>
      </w:tblPr>
      <w:tblGrid>
        <w:gridCol w:w="1548"/>
        <w:gridCol w:w="3780"/>
        <w:gridCol w:w="1440"/>
        <w:gridCol w:w="2808"/>
      </w:tblGrid>
      <w:tr w:rsidR="0055205C" w:rsidRPr="00510AD0" w14:paraId="075526D3" w14:textId="77777777" w:rsidTr="0070095F">
        <w:tc>
          <w:tcPr>
            <w:tcW w:w="1548" w:type="dxa"/>
          </w:tcPr>
          <w:p w14:paraId="059C7B64" w14:textId="77777777" w:rsidR="0055205C" w:rsidRPr="00510AD0" w:rsidRDefault="0055205C" w:rsidP="00AB4C5A">
            <w:pPr>
              <w:rPr>
                <w:b/>
              </w:rPr>
            </w:pPr>
            <w:r w:rsidRPr="00510AD0">
              <w:rPr>
                <w:b/>
              </w:rPr>
              <w:t>Beneficiary:</w:t>
            </w:r>
          </w:p>
        </w:tc>
        <w:tc>
          <w:tcPr>
            <w:tcW w:w="3780" w:type="dxa"/>
          </w:tcPr>
          <w:p w14:paraId="5F365955" w14:textId="77777777" w:rsidR="0055205C" w:rsidRPr="00510AD0" w:rsidRDefault="0055205C" w:rsidP="00AB4C5A">
            <w:pPr>
              <w:rPr>
                <w:b/>
              </w:rPr>
            </w:pPr>
            <w:r w:rsidRPr="00510AD0">
              <w:t>Pacific Gas and Electric Company</w:t>
            </w:r>
          </w:p>
        </w:tc>
        <w:tc>
          <w:tcPr>
            <w:tcW w:w="1440" w:type="dxa"/>
          </w:tcPr>
          <w:p w14:paraId="430DFFF3" w14:textId="77777777" w:rsidR="0055205C" w:rsidRPr="00510AD0" w:rsidRDefault="0055205C" w:rsidP="00AB4C5A">
            <w:pPr>
              <w:jc w:val="right"/>
              <w:rPr>
                <w:b/>
              </w:rPr>
            </w:pPr>
            <w:r w:rsidRPr="00510AD0">
              <w:rPr>
                <w:b/>
              </w:rPr>
              <w:t>Applicant:</w:t>
            </w:r>
          </w:p>
        </w:tc>
        <w:tc>
          <w:tcPr>
            <w:tcW w:w="2808" w:type="dxa"/>
          </w:tcPr>
          <w:p w14:paraId="0B20E09A" w14:textId="77777777" w:rsidR="0055205C" w:rsidRPr="00510AD0" w:rsidRDefault="0055205C" w:rsidP="00AB4C5A">
            <w:pPr>
              <w:rPr>
                <w:b/>
              </w:rPr>
            </w:pPr>
            <w:r w:rsidRPr="00510AD0">
              <w:t>[Insert name and address of Applicant]</w:t>
            </w:r>
          </w:p>
        </w:tc>
      </w:tr>
      <w:tr w:rsidR="0055205C" w:rsidRPr="00510AD0" w14:paraId="245AACD0" w14:textId="77777777" w:rsidTr="0070095F">
        <w:tc>
          <w:tcPr>
            <w:tcW w:w="1548" w:type="dxa"/>
          </w:tcPr>
          <w:p w14:paraId="68BF2CF0" w14:textId="77777777" w:rsidR="0055205C" w:rsidRPr="00510AD0" w:rsidRDefault="0055205C" w:rsidP="00AB4C5A">
            <w:pPr>
              <w:rPr>
                <w:b/>
              </w:rPr>
            </w:pPr>
          </w:p>
        </w:tc>
        <w:tc>
          <w:tcPr>
            <w:tcW w:w="3780" w:type="dxa"/>
          </w:tcPr>
          <w:p w14:paraId="092BED8D" w14:textId="77777777" w:rsidR="0055205C" w:rsidRPr="00510AD0" w:rsidRDefault="0055205C" w:rsidP="00AB4C5A">
            <w:pPr>
              <w:rPr>
                <w:b/>
              </w:rPr>
            </w:pPr>
            <w:r w:rsidRPr="00510AD0">
              <w:t>77 Beale Street,  Mail Code B28L</w:t>
            </w:r>
          </w:p>
        </w:tc>
        <w:tc>
          <w:tcPr>
            <w:tcW w:w="1440" w:type="dxa"/>
          </w:tcPr>
          <w:p w14:paraId="7544DF16" w14:textId="77777777" w:rsidR="0055205C" w:rsidRPr="00510AD0" w:rsidRDefault="0055205C" w:rsidP="00AB4C5A">
            <w:pPr>
              <w:rPr>
                <w:b/>
              </w:rPr>
            </w:pPr>
          </w:p>
        </w:tc>
        <w:tc>
          <w:tcPr>
            <w:tcW w:w="2808" w:type="dxa"/>
          </w:tcPr>
          <w:p w14:paraId="6E2F36EA" w14:textId="77777777" w:rsidR="0055205C" w:rsidRPr="00510AD0" w:rsidRDefault="0055205C" w:rsidP="00AB4C5A">
            <w:pPr>
              <w:rPr>
                <w:b/>
              </w:rPr>
            </w:pPr>
          </w:p>
        </w:tc>
      </w:tr>
      <w:tr w:rsidR="0055205C" w:rsidRPr="00510AD0" w14:paraId="64884C5C" w14:textId="77777777" w:rsidTr="0070095F">
        <w:tc>
          <w:tcPr>
            <w:tcW w:w="1548" w:type="dxa"/>
          </w:tcPr>
          <w:p w14:paraId="45A48081" w14:textId="77777777" w:rsidR="0055205C" w:rsidRPr="00510AD0" w:rsidRDefault="0055205C" w:rsidP="00AB4C5A">
            <w:pPr>
              <w:rPr>
                <w:b/>
              </w:rPr>
            </w:pPr>
          </w:p>
        </w:tc>
        <w:tc>
          <w:tcPr>
            <w:tcW w:w="3780" w:type="dxa"/>
          </w:tcPr>
          <w:p w14:paraId="52E29FA4" w14:textId="77777777" w:rsidR="0055205C" w:rsidRPr="00510AD0" w:rsidRDefault="0055205C" w:rsidP="00AB4C5A">
            <w:pPr>
              <w:rPr>
                <w:b/>
              </w:rPr>
            </w:pPr>
            <w:r w:rsidRPr="00510AD0">
              <w:t>San Francisco, CA 94105</w:t>
            </w:r>
          </w:p>
        </w:tc>
        <w:tc>
          <w:tcPr>
            <w:tcW w:w="1440" w:type="dxa"/>
          </w:tcPr>
          <w:p w14:paraId="5B133B0E" w14:textId="77777777" w:rsidR="0055205C" w:rsidRPr="00510AD0" w:rsidRDefault="0055205C" w:rsidP="00AB4C5A">
            <w:pPr>
              <w:rPr>
                <w:b/>
              </w:rPr>
            </w:pPr>
          </w:p>
        </w:tc>
        <w:tc>
          <w:tcPr>
            <w:tcW w:w="2808" w:type="dxa"/>
          </w:tcPr>
          <w:p w14:paraId="0BCD782F" w14:textId="77777777" w:rsidR="0055205C" w:rsidRPr="00510AD0" w:rsidRDefault="0055205C" w:rsidP="00AB4C5A">
            <w:pPr>
              <w:rPr>
                <w:b/>
              </w:rPr>
            </w:pPr>
          </w:p>
        </w:tc>
      </w:tr>
      <w:tr w:rsidR="0055205C" w:rsidRPr="00510AD0" w14:paraId="39A61644" w14:textId="77777777" w:rsidTr="0070095F">
        <w:tc>
          <w:tcPr>
            <w:tcW w:w="1548" w:type="dxa"/>
          </w:tcPr>
          <w:p w14:paraId="5BE6427B" w14:textId="77777777" w:rsidR="0055205C" w:rsidRPr="00510AD0" w:rsidRDefault="0055205C" w:rsidP="00AB4C5A">
            <w:pPr>
              <w:rPr>
                <w:b/>
              </w:rPr>
            </w:pPr>
          </w:p>
        </w:tc>
        <w:tc>
          <w:tcPr>
            <w:tcW w:w="3780" w:type="dxa"/>
          </w:tcPr>
          <w:p w14:paraId="2B915974" w14:textId="77777777" w:rsidR="0055205C" w:rsidRPr="00510AD0" w:rsidRDefault="0055205C" w:rsidP="00AB4C5A">
            <w:pPr>
              <w:rPr>
                <w:b/>
              </w:rPr>
            </w:pPr>
            <w:r w:rsidRPr="00510AD0">
              <w:t>Attention: Credit Risk Management</w:t>
            </w:r>
          </w:p>
        </w:tc>
        <w:tc>
          <w:tcPr>
            <w:tcW w:w="1440" w:type="dxa"/>
          </w:tcPr>
          <w:p w14:paraId="022178C8" w14:textId="77777777" w:rsidR="0055205C" w:rsidRPr="00510AD0" w:rsidRDefault="0055205C" w:rsidP="00AB4C5A">
            <w:pPr>
              <w:rPr>
                <w:b/>
              </w:rPr>
            </w:pPr>
          </w:p>
        </w:tc>
        <w:tc>
          <w:tcPr>
            <w:tcW w:w="2808" w:type="dxa"/>
          </w:tcPr>
          <w:p w14:paraId="592348A0" w14:textId="77777777" w:rsidR="0055205C" w:rsidRPr="00510AD0" w:rsidRDefault="0055205C" w:rsidP="00AB4C5A">
            <w:pPr>
              <w:rPr>
                <w:b/>
              </w:rPr>
            </w:pPr>
          </w:p>
        </w:tc>
      </w:tr>
    </w:tbl>
    <w:p w14:paraId="33B10E03" w14:textId="77777777" w:rsidR="0055205C" w:rsidRPr="00510AD0" w:rsidRDefault="0055205C" w:rsidP="00AB4C5A">
      <w:pPr>
        <w:pStyle w:val="BodyTextLeft"/>
        <w:rPr>
          <w:b/>
        </w:rPr>
      </w:pPr>
    </w:p>
    <w:p w14:paraId="2A7364BB" w14:textId="77777777" w:rsidR="0055205C" w:rsidRPr="00510AD0" w:rsidRDefault="0055205C" w:rsidP="00AB4C5A">
      <w:pPr>
        <w:pStyle w:val="BodyTextLeft"/>
      </w:pPr>
      <w:r w:rsidRPr="00510AD0">
        <w:rPr>
          <w:b/>
        </w:rPr>
        <w:t xml:space="preserve">Letter of Credit Amount:  </w:t>
      </w:r>
      <w:r w:rsidRPr="00510AD0">
        <w:rPr>
          <w:b/>
          <w:i/>
          <w:color w:val="0000FF"/>
        </w:rPr>
        <w:t>[insert amount]</w:t>
      </w:r>
    </w:p>
    <w:p w14:paraId="27EC1308" w14:textId="77777777" w:rsidR="0055205C" w:rsidRPr="00510AD0" w:rsidRDefault="0055205C" w:rsidP="00AB4C5A">
      <w:pPr>
        <w:pStyle w:val="BodyTextLeft"/>
      </w:pPr>
      <w:r w:rsidRPr="00510AD0">
        <w:rPr>
          <w:b/>
        </w:rPr>
        <w:t xml:space="preserve">Expiry Date: </w:t>
      </w:r>
      <w:r w:rsidRPr="00510AD0">
        <w:rPr>
          <w:b/>
          <w:i/>
          <w:color w:val="0000FF"/>
        </w:rPr>
        <w:t>[insert expiry date]</w:t>
      </w:r>
    </w:p>
    <w:p w14:paraId="26A2DD1E" w14:textId="77777777" w:rsidR="0055205C" w:rsidRPr="00510AD0" w:rsidRDefault="0055205C" w:rsidP="00AB4C5A">
      <w:pPr>
        <w:pStyle w:val="BodyTextLeft"/>
      </w:pPr>
      <w:r w:rsidRPr="00510AD0">
        <w:t>Ladies and Gentlemen:</w:t>
      </w:r>
    </w:p>
    <w:p w14:paraId="51099F1D" w14:textId="77777777" w:rsidR="0055205C" w:rsidRPr="00510AD0" w:rsidRDefault="0055205C" w:rsidP="00AB4C5A">
      <w:pPr>
        <w:pStyle w:val="BodyTextLeft"/>
      </w:pPr>
      <w:r w:rsidRPr="00510AD0">
        <w:t xml:space="preserve">By order of </w:t>
      </w:r>
      <w:r w:rsidRPr="00510AD0">
        <w:rPr>
          <w:b/>
          <w:i/>
          <w:color w:val="0000FF"/>
        </w:rPr>
        <w:t>[insert name of Applicant]</w:t>
      </w:r>
      <w:r w:rsidRPr="00510AD0">
        <w:t xml:space="preserve"> (“Applicant”), we hereby issue in favor of Pacific Gas and Electric Company (the “Beneficiary”) our irrevocable standby letter of credit No. </w:t>
      </w:r>
      <w:r w:rsidRPr="00510AD0">
        <w:rPr>
          <w:b/>
          <w:i/>
          <w:color w:val="0000FF"/>
        </w:rPr>
        <w:t>[insert number of letter of credit]</w:t>
      </w:r>
      <w:r w:rsidRPr="00510AD0">
        <w:rPr>
          <w:b/>
        </w:rPr>
        <w:t xml:space="preserve"> </w:t>
      </w:r>
      <w:r w:rsidRPr="00510AD0">
        <w:t xml:space="preserve">(“Letter of Credit”), for the account of Applicant, for drawings up to but not to exceed the aggregate sum of U.S. $ </w:t>
      </w:r>
      <w:r w:rsidRPr="00510AD0">
        <w:rPr>
          <w:b/>
          <w:i/>
          <w:color w:val="0000FF"/>
        </w:rPr>
        <w:t xml:space="preserve">[insert amount in figures followed by (amount in words)] </w:t>
      </w:r>
      <w:r w:rsidRPr="00510AD0">
        <w:t xml:space="preserve">(“Letter of Credit Amount”). This Letter of Credit is available with </w:t>
      </w:r>
      <w:r w:rsidRPr="00510AD0">
        <w:rPr>
          <w:b/>
          <w:i/>
          <w:color w:val="0000FF"/>
        </w:rPr>
        <w:t>[insert name of issuing bank, and the city and state in which it is located]</w:t>
      </w:r>
      <w:r w:rsidRPr="00510AD0">
        <w:t xml:space="preserve"> by sight payment, at our offices located at the address stated below, effective immediately, and it will expire at our close of business on </w:t>
      </w:r>
      <w:r w:rsidRPr="00510AD0">
        <w:rPr>
          <w:b/>
          <w:i/>
          <w:color w:val="0000FF"/>
        </w:rPr>
        <w:t>[insert expiry date]</w:t>
      </w:r>
      <w:r w:rsidRPr="00510AD0">
        <w:t xml:space="preserve"> (the “Expiry Date”). </w:t>
      </w:r>
    </w:p>
    <w:p w14:paraId="792A05DB" w14:textId="77777777" w:rsidR="0055205C" w:rsidRPr="00510AD0" w:rsidRDefault="0055205C" w:rsidP="00AB4C5A">
      <w:pPr>
        <w:pStyle w:val="BodyTextLeft"/>
      </w:pPr>
      <w:r w:rsidRPr="00510AD0">
        <w:t>Funds under this Letter of Credit are available to the Beneficiary against presentation of the following documents (which may be presented by overnight courier or by facsimile or email):</w:t>
      </w:r>
    </w:p>
    <w:p w14:paraId="5C2F9918" w14:textId="77777777" w:rsidR="0055205C" w:rsidRPr="00510AD0" w:rsidRDefault="0055205C" w:rsidP="00AB4C5A">
      <w:pPr>
        <w:pStyle w:val="BodyTextLeft"/>
      </w:pPr>
      <w:r w:rsidRPr="00510AD0">
        <w:t>1.</w:t>
      </w:r>
      <w:r w:rsidRPr="00510AD0">
        <w:tab/>
        <w:t xml:space="preserve">Beneficiary’s signed and dated sight draft in the form of Exhibit A hereto, referencing this Letter of Credit No. </w:t>
      </w:r>
      <w:r w:rsidRPr="00510AD0">
        <w:rPr>
          <w:b/>
          <w:i/>
          <w:color w:val="0000FF"/>
        </w:rPr>
        <w:t>[insert number]</w:t>
      </w:r>
      <w:r w:rsidRPr="00510AD0">
        <w:t xml:space="preserve"> and stating the amount of the demand; and</w:t>
      </w:r>
    </w:p>
    <w:p w14:paraId="29111559" w14:textId="77777777" w:rsidR="0055205C" w:rsidRPr="00510AD0" w:rsidRDefault="0055205C" w:rsidP="00AB4C5A">
      <w:pPr>
        <w:pStyle w:val="BodyTextLeft"/>
      </w:pPr>
      <w:r w:rsidRPr="00510AD0">
        <w:t>2.</w:t>
      </w:r>
      <w:r w:rsidRPr="00510AD0">
        <w:tab/>
        <w:t>One of the following statements signed by an authorized representative or officer of Beneficiary:</w:t>
      </w:r>
    </w:p>
    <w:p w14:paraId="0F6CB2D4" w14:textId="77777777" w:rsidR="0055205C" w:rsidRPr="00510AD0" w:rsidRDefault="0055205C" w:rsidP="00AB4C5A">
      <w:pPr>
        <w:pStyle w:val="BodyText2"/>
      </w:pPr>
      <w:r w:rsidRPr="00510AD0">
        <w:t xml:space="preserve">A.   “Pursuant to the terms of that certain </w:t>
      </w:r>
      <w:r w:rsidRPr="00510AD0">
        <w:rPr>
          <w:b/>
          <w:i/>
          <w:color w:val="0000FF"/>
        </w:rPr>
        <w:t>[insert name of Agreement]</w:t>
      </w:r>
      <w:r w:rsidRPr="00510AD0">
        <w:t xml:space="preserve"> (the “Agreement”), dated </w:t>
      </w:r>
      <w:r w:rsidRPr="00510AD0">
        <w:rPr>
          <w:b/>
          <w:i/>
          <w:color w:val="0000FF"/>
        </w:rPr>
        <w:t>[insert date of the Agreement]</w:t>
      </w:r>
      <w:r w:rsidRPr="00510AD0">
        <w:t xml:space="preserve">, between Beneficiary and </w:t>
      </w:r>
      <w:r w:rsidRPr="00510AD0">
        <w:rPr>
          <w:b/>
          <w:i/>
          <w:color w:val="0000FF"/>
        </w:rPr>
        <w:t>[insert name of Seller under the Agreement]</w:t>
      </w:r>
      <w:r w:rsidRPr="00510AD0">
        <w:rPr>
          <w:b/>
        </w:rPr>
        <w:t xml:space="preserve">, </w:t>
      </w:r>
      <w:r w:rsidRPr="00510AD0">
        <w:t xml:space="preserve">Beneficiary is entitled to draw under Letter of Credit No. </w:t>
      </w:r>
      <w:r w:rsidRPr="00510AD0">
        <w:rPr>
          <w:b/>
          <w:i/>
          <w:color w:val="0000FF"/>
        </w:rPr>
        <w:t>[insert number]</w:t>
      </w:r>
      <w:r w:rsidRPr="00510AD0">
        <w:rPr>
          <w:b/>
        </w:rPr>
        <w:t xml:space="preserve"> </w:t>
      </w:r>
      <w:r w:rsidRPr="00510AD0">
        <w:t xml:space="preserve">amounts owed by </w:t>
      </w:r>
      <w:r w:rsidRPr="00510AD0">
        <w:rPr>
          <w:b/>
          <w:i/>
          <w:color w:val="0000FF"/>
        </w:rPr>
        <w:t>[insert name of Seller under the Agreement]</w:t>
      </w:r>
      <w:r w:rsidRPr="00510AD0">
        <w:rPr>
          <w:b/>
        </w:rPr>
        <w:t xml:space="preserve"> </w:t>
      </w:r>
      <w:r w:rsidRPr="00510AD0">
        <w:t>under the Agreement; or</w:t>
      </w:r>
    </w:p>
    <w:p w14:paraId="58152B08" w14:textId="77777777" w:rsidR="0055205C" w:rsidRPr="00510AD0" w:rsidRDefault="0055205C" w:rsidP="00AB4C5A">
      <w:pPr>
        <w:pStyle w:val="BodyText2"/>
      </w:pPr>
      <w:r w:rsidRPr="00510AD0">
        <w:lastRenderedPageBreak/>
        <w:t xml:space="preserve">B.   “Letter of Credit No. </w:t>
      </w:r>
      <w:r w:rsidRPr="00510AD0">
        <w:rPr>
          <w:b/>
          <w:i/>
          <w:color w:val="0000FF"/>
        </w:rPr>
        <w:t>[insert number]</w:t>
      </w:r>
      <w:r w:rsidRPr="00510AD0">
        <w:t xml:space="preserve"> will expire in thirty (30) days or less and </w:t>
      </w:r>
      <w:r w:rsidRPr="00510AD0">
        <w:rPr>
          <w:b/>
          <w:i/>
          <w:color w:val="0000FF"/>
        </w:rPr>
        <w:t>[insert name of Seller under the Agreement]</w:t>
      </w:r>
      <w:r w:rsidRPr="00510AD0">
        <w:rPr>
          <w:b/>
        </w:rPr>
        <w:t xml:space="preserve"> </w:t>
      </w:r>
      <w:r w:rsidRPr="00510AD0">
        <w:t>has not provided replacement security acceptable to Beneficiary.</w:t>
      </w:r>
    </w:p>
    <w:p w14:paraId="3F20BEB4" w14:textId="77777777" w:rsidR="0055205C" w:rsidRPr="00510AD0" w:rsidRDefault="0055205C" w:rsidP="00AB4C5A">
      <w:pPr>
        <w:pStyle w:val="BodyTextLeft"/>
      </w:pPr>
      <w:r w:rsidRPr="00510AD0">
        <w:t>Special Conditions:</w:t>
      </w:r>
    </w:p>
    <w:p w14:paraId="6640CF56" w14:textId="77777777" w:rsidR="0055205C" w:rsidRPr="00510AD0" w:rsidRDefault="0055205C" w:rsidP="00AB4C5A">
      <w:pPr>
        <w:pStyle w:val="BodyText2"/>
      </w:pPr>
      <w:r w:rsidRPr="00510AD0">
        <w:t>1.</w:t>
      </w:r>
      <w:r w:rsidRPr="00510AD0">
        <w:tab/>
        <w:t>Partial and multiple drawings under this Letter of Credit are allowed;</w:t>
      </w:r>
    </w:p>
    <w:p w14:paraId="5F5F0F2D" w14:textId="77777777" w:rsidR="0055205C" w:rsidRPr="00510AD0" w:rsidRDefault="0055205C" w:rsidP="00AB4C5A">
      <w:pPr>
        <w:pStyle w:val="BodyText2"/>
      </w:pPr>
      <w:r w:rsidRPr="00510AD0">
        <w:t>2.</w:t>
      </w:r>
      <w:r w:rsidRPr="00510AD0">
        <w:tab/>
        <w:t>All banking charges associated with this Letter of Credit are for the account of the Applicant;</w:t>
      </w:r>
    </w:p>
    <w:p w14:paraId="5CD611A1" w14:textId="77777777" w:rsidR="0055205C" w:rsidRPr="00510AD0" w:rsidRDefault="0055205C" w:rsidP="00AB4C5A">
      <w:pPr>
        <w:pStyle w:val="BodyText2"/>
      </w:pPr>
      <w:r w:rsidRPr="00510AD0">
        <w:t>3.</w:t>
      </w:r>
      <w:r w:rsidRPr="00510AD0">
        <w:tab/>
        <w:t>This Letter of Credit is not transferable; and</w:t>
      </w:r>
    </w:p>
    <w:p w14:paraId="1B6F36FD" w14:textId="77777777" w:rsidR="0055205C" w:rsidRPr="00510AD0" w:rsidRDefault="0055205C" w:rsidP="00AB4C5A">
      <w:pPr>
        <w:pStyle w:val="BodyText2"/>
      </w:pPr>
      <w:r w:rsidRPr="00510AD0">
        <w:t>4.</w:t>
      </w:r>
      <w:r w:rsidRPr="00510AD0">
        <w:tab/>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149D5829" w14:textId="77777777" w:rsidR="0055205C" w:rsidRPr="00510AD0" w:rsidRDefault="0055205C" w:rsidP="00AB4C5A">
      <w:pPr>
        <w:pStyle w:val="BodyTextLeft"/>
      </w:pPr>
      <w:r w:rsidRPr="00510AD0">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at </w:t>
      </w:r>
      <w:r w:rsidRPr="00510AD0">
        <w:rPr>
          <w:b/>
          <w:i/>
          <w:color w:val="0000FF"/>
        </w:rPr>
        <w:t>[insert issuing bank’s address for drawings]</w:t>
      </w:r>
      <w:r w:rsidRPr="00510AD0">
        <w:t>.</w:t>
      </w:r>
    </w:p>
    <w:p w14:paraId="734BE4F9" w14:textId="77777777" w:rsidR="0055205C" w:rsidRPr="00510AD0" w:rsidRDefault="0055205C" w:rsidP="00AB4C5A">
      <w:pPr>
        <w:pStyle w:val="BodyTextLeft"/>
      </w:pPr>
      <w:bookmarkStart w:id="909" w:name="_Hlk44531264"/>
      <w:r w:rsidRPr="00510AD0">
        <w:t xml:space="preserve">All demands for payment shall be made by presentation of copies or original documents, or by facsimile, e-mail, or other electronic transmission of documents to </w:t>
      </w:r>
      <w:r w:rsidRPr="00510AD0">
        <w:rPr>
          <w:b/>
          <w:i/>
          <w:color w:val="0000FF"/>
        </w:rPr>
        <w:t>[Insert fax number, email or other electronic transmission]</w:t>
      </w:r>
      <w:r w:rsidRPr="00510AD0">
        <w:t xml:space="preserve">, Attention: </w:t>
      </w:r>
      <w:r w:rsidRPr="00510AD0">
        <w:rPr>
          <w:b/>
          <w:i/>
          <w:color w:val="0000FF"/>
        </w:rPr>
        <w:t>[Insert name of issuing bank’s receiving department] or [Insert email or other electronic transmission address]</w:t>
      </w:r>
      <w:r w:rsidRPr="00510AD0">
        <w:t xml:space="preserve">.  If a demand is made by facsimile, e-mail or other electronic transmission, the originals or copies of documents must follow by overnight mail, and you may contact us at </w:t>
      </w:r>
      <w:r w:rsidRPr="00510AD0">
        <w:rPr>
          <w:b/>
          <w:i/>
          <w:color w:val="0000FF"/>
        </w:rPr>
        <w:t>[Insert phone number]</w:t>
      </w:r>
      <w:r w:rsidRPr="00510AD0">
        <w:t xml:space="preserve"> to confirm our receipt of the transmission.  Your failure to seek such a telephone confirmation does not affect our obligation to honor such a presentation.</w:t>
      </w:r>
    </w:p>
    <w:bookmarkEnd w:id="909"/>
    <w:p w14:paraId="419C1A9F" w14:textId="77777777" w:rsidR="0055205C" w:rsidRPr="00510AD0" w:rsidRDefault="0055205C" w:rsidP="00AB4C5A">
      <w:pPr>
        <w:pStyle w:val="BodyTextLeft"/>
      </w:pPr>
      <w:r w:rsidRPr="00510AD0">
        <w:t>Our payments against complying presentations under this Letter of Credit will be made no later than on the sixth (6th) banking day following a complying presentation.</w:t>
      </w:r>
    </w:p>
    <w:p w14:paraId="1CB60A79" w14:textId="77777777" w:rsidR="0055205C" w:rsidRPr="00510AD0" w:rsidRDefault="0055205C" w:rsidP="00AB4C5A">
      <w:pPr>
        <w:pStyle w:val="BodyTextLeft"/>
      </w:pPr>
      <w:r w:rsidRPr="00510AD0">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0EBC8D17" w14:textId="77777777" w:rsidR="0055205C" w:rsidRPr="00510AD0" w:rsidRDefault="0055205C" w:rsidP="00AB4C5A">
      <w:pPr>
        <w:pStyle w:val="BodyTextLeft"/>
      </w:pPr>
      <w:r w:rsidRPr="00510AD0">
        <w:t xml:space="preserve">Except as otherwise specifically stated herein, this Letter of Credit is subject to and governed by the </w:t>
      </w:r>
      <w:r w:rsidRPr="00510AD0">
        <w:rPr>
          <w:i/>
        </w:rPr>
        <w:t>Uniform Customs and Practice for Documentary Credits, 2007 Revision,</w:t>
      </w:r>
      <w:r w:rsidRPr="00510AD0">
        <w:t xml:space="preserve"> International Chamber of Commerce (ICC) Publication No. 600 (the “UCP 600”); provided that, if this Letter of Credit expires during an interruption of our business as described in </w:t>
      </w:r>
      <w:bookmarkStart w:id="910" w:name="DocXTextRef382"/>
      <w:r w:rsidRPr="00510AD0">
        <w:t>Article 36</w:t>
      </w:r>
      <w:bookmarkEnd w:id="910"/>
      <w:r w:rsidRPr="00510AD0">
        <w:t xml:space="preserve"> of the UCP </w:t>
      </w:r>
      <w:bookmarkStart w:id="911" w:name="DocXTextRef383"/>
      <w:r w:rsidRPr="00510AD0">
        <w:t>600</w:t>
      </w:r>
      <w:bookmarkEnd w:id="911"/>
      <w:r w:rsidRPr="00510AD0">
        <w:t>, we will honor drafts presented in compliance with this Letter of Credit, if they are presented within thirty (30) days after the resumption of our business, and will effect payment accordingly.</w:t>
      </w:r>
    </w:p>
    <w:p w14:paraId="727D699E" w14:textId="77777777" w:rsidR="0055205C" w:rsidRPr="00510AD0" w:rsidRDefault="0055205C" w:rsidP="00AB4C5A">
      <w:pPr>
        <w:pStyle w:val="BodyTextLeft"/>
      </w:pPr>
      <w:bookmarkStart w:id="912" w:name="_Hlk44531274"/>
      <w:r w:rsidRPr="00510AD0">
        <w:lastRenderedPageBreak/>
        <w:t>The electronic copy of this Letter of Credit shall be the operative instrument until such time as the original is received. This Letter of Credit can be amended or terminated by facsimile, e-mail or other electronic transmission.</w:t>
      </w:r>
    </w:p>
    <w:bookmarkEnd w:id="912"/>
    <w:p w14:paraId="5049D06D" w14:textId="77777777" w:rsidR="0055205C" w:rsidRPr="00510AD0" w:rsidRDefault="0055205C" w:rsidP="00AB4C5A">
      <w:pPr>
        <w:pStyle w:val="BodyTextLeft"/>
      </w:pPr>
      <w:r w:rsidRPr="00510AD0">
        <w:t xml:space="preserve">The law of the State of New York shall apply to any matters not covered by the UCP </w:t>
      </w:r>
      <w:bookmarkStart w:id="913" w:name="DocXTextRef384"/>
      <w:r w:rsidRPr="00510AD0">
        <w:t>600</w:t>
      </w:r>
      <w:bookmarkEnd w:id="913"/>
      <w:r w:rsidRPr="00510AD0">
        <w:t>.</w:t>
      </w:r>
    </w:p>
    <w:p w14:paraId="3ACDD385" w14:textId="77777777" w:rsidR="0055205C" w:rsidRPr="00510AD0" w:rsidRDefault="0055205C" w:rsidP="00AB4C5A">
      <w:pPr>
        <w:pStyle w:val="BodyTextLeft"/>
      </w:pPr>
      <w:r w:rsidRPr="00510AD0">
        <w:br w:type="page"/>
      </w:r>
    </w:p>
    <w:p w14:paraId="05385AB4" w14:textId="77777777" w:rsidR="0055205C" w:rsidRPr="00510AD0" w:rsidRDefault="0055205C" w:rsidP="00AB4C5A">
      <w:pPr>
        <w:pStyle w:val="BodyTextLeft"/>
      </w:pPr>
      <w:r w:rsidRPr="00510AD0">
        <w:lastRenderedPageBreak/>
        <w:t xml:space="preserve">For telephone assistance regarding this Letter of Credit, please contact us at </w:t>
      </w:r>
      <w:r w:rsidRPr="00510AD0">
        <w:rPr>
          <w:b/>
          <w:i/>
          <w:color w:val="0000FF"/>
        </w:rPr>
        <w:t>[insert number and any other necessary details]</w:t>
      </w:r>
      <w:r w:rsidRPr="00510AD0">
        <w:t>.</w:t>
      </w:r>
    </w:p>
    <w:p w14:paraId="5DFC6682" w14:textId="77777777" w:rsidR="0055205C" w:rsidRPr="00510AD0" w:rsidRDefault="0055205C" w:rsidP="00AB4C5A">
      <w:pPr>
        <w:pStyle w:val="BodyTextLeft"/>
      </w:pPr>
    </w:p>
    <w:p w14:paraId="36F56F21" w14:textId="77777777" w:rsidR="0055205C" w:rsidRPr="00510AD0" w:rsidRDefault="0055205C" w:rsidP="00AB4C5A">
      <w:pPr>
        <w:pStyle w:val="BodyTextLeft"/>
      </w:pPr>
      <w:r w:rsidRPr="00510AD0">
        <w:t>Very truly yours,</w:t>
      </w:r>
    </w:p>
    <w:tbl>
      <w:tblPr>
        <w:tblW w:w="4320" w:type="dxa"/>
        <w:tblLook w:val="01E0" w:firstRow="1" w:lastRow="1" w:firstColumn="1" w:lastColumn="1" w:noHBand="0" w:noVBand="0"/>
      </w:tblPr>
      <w:tblGrid>
        <w:gridCol w:w="856"/>
        <w:gridCol w:w="3464"/>
      </w:tblGrid>
      <w:tr w:rsidR="0055205C" w:rsidRPr="00510AD0" w14:paraId="3F9A7A9E" w14:textId="77777777" w:rsidTr="0070095F">
        <w:trPr>
          <w:trHeight w:val="432"/>
        </w:trPr>
        <w:tc>
          <w:tcPr>
            <w:tcW w:w="4320" w:type="dxa"/>
            <w:gridSpan w:val="2"/>
            <w:vAlign w:val="bottom"/>
          </w:tcPr>
          <w:p w14:paraId="00B52008" w14:textId="77777777" w:rsidR="0055205C" w:rsidRPr="00510AD0" w:rsidRDefault="0055205C" w:rsidP="00AB4C5A">
            <w:pPr>
              <w:rPr>
                <w:i/>
              </w:rPr>
            </w:pPr>
            <w:r w:rsidRPr="00510AD0">
              <w:rPr>
                <w:b/>
                <w:i/>
                <w:color w:val="0000FF"/>
              </w:rPr>
              <w:t>[insert name of issuing bank]</w:t>
            </w:r>
          </w:p>
        </w:tc>
      </w:tr>
      <w:tr w:rsidR="0055205C" w:rsidRPr="00510AD0" w14:paraId="23DF07E5" w14:textId="77777777" w:rsidTr="0070095F">
        <w:trPr>
          <w:trHeight w:val="432"/>
        </w:trPr>
        <w:tc>
          <w:tcPr>
            <w:tcW w:w="856" w:type="dxa"/>
            <w:vAlign w:val="bottom"/>
          </w:tcPr>
          <w:p w14:paraId="245EE395" w14:textId="77777777" w:rsidR="0055205C" w:rsidRPr="00510AD0" w:rsidRDefault="0055205C" w:rsidP="00AB4C5A">
            <w:pPr>
              <w:jc w:val="right"/>
            </w:pPr>
            <w:r w:rsidRPr="00510AD0">
              <w:t>By:</w:t>
            </w:r>
          </w:p>
        </w:tc>
        <w:tc>
          <w:tcPr>
            <w:tcW w:w="3464" w:type="dxa"/>
            <w:tcBorders>
              <w:bottom w:val="single" w:sz="4" w:space="0" w:color="auto"/>
            </w:tcBorders>
            <w:vAlign w:val="bottom"/>
          </w:tcPr>
          <w:p w14:paraId="674D8472" w14:textId="77777777" w:rsidR="0055205C" w:rsidRPr="00510AD0" w:rsidRDefault="0055205C" w:rsidP="00AB4C5A"/>
        </w:tc>
      </w:tr>
      <w:tr w:rsidR="0055205C" w:rsidRPr="00510AD0" w14:paraId="526AA706" w14:textId="77777777" w:rsidTr="0070095F">
        <w:trPr>
          <w:trHeight w:val="288"/>
        </w:trPr>
        <w:tc>
          <w:tcPr>
            <w:tcW w:w="856" w:type="dxa"/>
            <w:vAlign w:val="bottom"/>
          </w:tcPr>
          <w:p w14:paraId="3E3EA70C" w14:textId="77777777" w:rsidR="0055205C" w:rsidRPr="00510AD0" w:rsidRDefault="0055205C" w:rsidP="00AB4C5A">
            <w:pPr>
              <w:jc w:val="right"/>
            </w:pPr>
          </w:p>
        </w:tc>
        <w:tc>
          <w:tcPr>
            <w:tcW w:w="3464" w:type="dxa"/>
            <w:tcBorders>
              <w:top w:val="single" w:sz="4" w:space="0" w:color="auto"/>
            </w:tcBorders>
          </w:tcPr>
          <w:p w14:paraId="049B3C72" w14:textId="77777777" w:rsidR="0055205C" w:rsidRPr="00510AD0" w:rsidRDefault="0055205C" w:rsidP="00AB4C5A">
            <w:pPr>
              <w:jc w:val="center"/>
            </w:pPr>
            <w:r w:rsidRPr="00510AD0">
              <w:t>Authorized Signature</w:t>
            </w:r>
          </w:p>
        </w:tc>
      </w:tr>
      <w:tr w:rsidR="0055205C" w:rsidRPr="00510AD0" w14:paraId="3CA41520" w14:textId="77777777" w:rsidTr="0070095F">
        <w:trPr>
          <w:trHeight w:val="504"/>
        </w:trPr>
        <w:tc>
          <w:tcPr>
            <w:tcW w:w="856" w:type="dxa"/>
            <w:vAlign w:val="bottom"/>
          </w:tcPr>
          <w:p w14:paraId="60966134" w14:textId="77777777" w:rsidR="0055205C" w:rsidRPr="00510AD0" w:rsidRDefault="0055205C" w:rsidP="00AB4C5A">
            <w:pPr>
              <w:jc w:val="right"/>
            </w:pPr>
            <w:r w:rsidRPr="00510AD0">
              <w:t>Name:</w:t>
            </w:r>
          </w:p>
        </w:tc>
        <w:tc>
          <w:tcPr>
            <w:tcW w:w="3464" w:type="dxa"/>
            <w:tcBorders>
              <w:bottom w:val="single" w:sz="4" w:space="0" w:color="auto"/>
            </w:tcBorders>
            <w:vAlign w:val="bottom"/>
          </w:tcPr>
          <w:p w14:paraId="041BE16F" w14:textId="77777777" w:rsidR="0055205C" w:rsidRPr="00510AD0" w:rsidRDefault="0055205C" w:rsidP="00AB4C5A">
            <w:pPr>
              <w:jc w:val="center"/>
              <w:rPr>
                <w:b/>
                <w:i/>
              </w:rPr>
            </w:pPr>
            <w:r w:rsidRPr="00510AD0">
              <w:rPr>
                <w:b/>
                <w:i/>
                <w:color w:val="0000FF"/>
              </w:rPr>
              <w:t>[print or type name]</w:t>
            </w:r>
          </w:p>
        </w:tc>
      </w:tr>
      <w:tr w:rsidR="0055205C" w:rsidRPr="00510AD0" w14:paraId="354677E4" w14:textId="77777777" w:rsidTr="0070095F">
        <w:trPr>
          <w:trHeight w:val="504"/>
        </w:trPr>
        <w:tc>
          <w:tcPr>
            <w:tcW w:w="856" w:type="dxa"/>
            <w:vAlign w:val="bottom"/>
          </w:tcPr>
          <w:p w14:paraId="7DCB3022" w14:textId="77777777" w:rsidR="0055205C" w:rsidRPr="00510AD0" w:rsidRDefault="0055205C" w:rsidP="00AB4C5A">
            <w:pPr>
              <w:jc w:val="right"/>
            </w:pPr>
            <w:r w:rsidRPr="00510AD0">
              <w:t>Title:</w:t>
            </w:r>
          </w:p>
        </w:tc>
        <w:tc>
          <w:tcPr>
            <w:tcW w:w="3464" w:type="dxa"/>
            <w:tcBorders>
              <w:top w:val="single" w:sz="4" w:space="0" w:color="auto"/>
              <w:bottom w:val="single" w:sz="4" w:space="0" w:color="auto"/>
            </w:tcBorders>
            <w:vAlign w:val="bottom"/>
          </w:tcPr>
          <w:p w14:paraId="77027B70" w14:textId="77777777" w:rsidR="0055205C" w:rsidRPr="00510AD0" w:rsidRDefault="0055205C" w:rsidP="00AB4C5A">
            <w:pPr>
              <w:jc w:val="center"/>
            </w:pPr>
            <w:r w:rsidRPr="00510AD0">
              <w:rPr>
                <w:b/>
                <w:i/>
                <w:color w:val="0000FF"/>
              </w:rPr>
              <w:t>[print or type title]</w:t>
            </w:r>
          </w:p>
        </w:tc>
      </w:tr>
    </w:tbl>
    <w:p w14:paraId="6B723793" w14:textId="77777777" w:rsidR="0055205C" w:rsidRPr="00510AD0" w:rsidRDefault="0055205C" w:rsidP="00AB4C5A">
      <w:pPr>
        <w:pStyle w:val="BodyTextLeft"/>
      </w:pPr>
    </w:p>
    <w:p w14:paraId="17CAE2C3" w14:textId="77777777" w:rsidR="0055205C" w:rsidRPr="00510AD0" w:rsidRDefault="0055205C" w:rsidP="00AB4C5A">
      <w:pPr>
        <w:pStyle w:val="BodyTextLeft"/>
      </w:pPr>
    </w:p>
    <w:p w14:paraId="5D6A1D18" w14:textId="77777777" w:rsidR="0055205C" w:rsidRPr="00510AD0" w:rsidRDefault="0055205C" w:rsidP="00AB4C5A">
      <w:pPr>
        <w:pStyle w:val="BodyTextLeft"/>
        <w:rPr>
          <w:b/>
          <w:i/>
          <w:color w:val="0000FF"/>
        </w:rPr>
      </w:pPr>
      <w:r w:rsidRPr="00510AD0">
        <w:rPr>
          <w:b/>
          <w:i/>
          <w:color w:val="0000FF"/>
        </w:rPr>
        <w:t>[Note:  All pages must contain the Letter of Credit number and page number for identification purposes.]</w:t>
      </w:r>
    </w:p>
    <w:p w14:paraId="4AEAFBC8" w14:textId="77777777" w:rsidR="0055205C" w:rsidRPr="00510AD0" w:rsidRDefault="0055205C" w:rsidP="00AB4C5A">
      <w:pPr>
        <w:pStyle w:val="BodyTextLeft"/>
      </w:pPr>
    </w:p>
    <w:p w14:paraId="33CA0E3C" w14:textId="77777777" w:rsidR="0055205C" w:rsidRPr="00510AD0" w:rsidRDefault="0055205C" w:rsidP="00DD660F">
      <w:pPr>
        <w:pStyle w:val="Exhibit"/>
      </w:pPr>
      <w:r w:rsidRPr="00510AD0">
        <w:br w:type="page"/>
      </w:r>
      <w:r w:rsidRPr="00510AD0">
        <w:lastRenderedPageBreak/>
        <w:t xml:space="preserve">Exhibit A </w:t>
      </w:r>
      <w:r w:rsidRPr="00510AD0">
        <w:br/>
      </w:r>
      <w:r w:rsidRPr="00510AD0">
        <w:br/>
        <w:t>SIGHT DRAFT</w:t>
      </w:r>
    </w:p>
    <w:p w14:paraId="6990E0D2" w14:textId="77777777" w:rsidR="0055205C" w:rsidRPr="00510AD0" w:rsidRDefault="0055205C" w:rsidP="00AB4C5A">
      <w:pPr>
        <w:pStyle w:val="BodyTextLeft"/>
      </w:pPr>
      <w:r w:rsidRPr="00510AD0">
        <w:t>TO</w:t>
      </w:r>
    </w:p>
    <w:p w14:paraId="760DCE00" w14:textId="77777777" w:rsidR="0055205C" w:rsidRPr="00510AD0" w:rsidRDefault="0055205C" w:rsidP="00AB4C5A">
      <w:pPr>
        <w:pStyle w:val="BodyTextLeft"/>
        <w:rPr>
          <w:b/>
          <w:i/>
        </w:rPr>
      </w:pPr>
      <w:r w:rsidRPr="00510AD0">
        <w:rPr>
          <w:b/>
          <w:i/>
          <w:color w:val="0000FF"/>
        </w:rPr>
        <w:t>[INSERT NAME AND ADDRESS OF PAYING BANK]</w:t>
      </w:r>
    </w:p>
    <w:p w14:paraId="0AA4BD8E" w14:textId="77777777" w:rsidR="0055205C" w:rsidRPr="00510AD0" w:rsidRDefault="0055205C" w:rsidP="00AB4C5A">
      <w:pPr>
        <w:pStyle w:val="BodyTextLeft"/>
      </w:pPr>
      <w:r w:rsidRPr="00510AD0">
        <w:t>AMOUNT: $________________________</w:t>
      </w:r>
      <w:r w:rsidRPr="00510AD0">
        <w:tab/>
      </w:r>
      <w:r w:rsidRPr="00510AD0">
        <w:tab/>
        <w:t>DATE: __________________________</w:t>
      </w:r>
    </w:p>
    <w:p w14:paraId="6D08A542" w14:textId="77777777" w:rsidR="0055205C" w:rsidRPr="00510AD0" w:rsidRDefault="0055205C" w:rsidP="00AB4C5A">
      <w:pPr>
        <w:pStyle w:val="BodyTextLeft"/>
      </w:pPr>
    </w:p>
    <w:p w14:paraId="7FB8C969" w14:textId="77777777" w:rsidR="0055205C" w:rsidRPr="00510AD0" w:rsidRDefault="0055205C" w:rsidP="00AB4C5A">
      <w:pPr>
        <w:pStyle w:val="BodyTextLeft"/>
      </w:pPr>
      <w:r w:rsidRPr="00510AD0">
        <w:t>AT SIGHT OF THIS DEMAND PAY TO THE ORDER OF PACIFIC GAS AND ELECTRIC COMPANY THE AMOUNT OF U.S.$________(______________ U.S. DOLLARS)</w:t>
      </w:r>
    </w:p>
    <w:p w14:paraId="6F13CBD6" w14:textId="77777777" w:rsidR="0055205C" w:rsidRPr="00510AD0" w:rsidRDefault="0055205C" w:rsidP="00AB4C5A">
      <w:pPr>
        <w:pStyle w:val="BodyTextLeft"/>
      </w:pPr>
      <w:r w:rsidRPr="00510AD0">
        <w:t xml:space="preserve">DRAWN UNDER </w:t>
      </w:r>
      <w:r w:rsidRPr="00510AD0">
        <w:rPr>
          <w:b/>
          <w:i/>
          <w:color w:val="0000FF"/>
        </w:rPr>
        <w:t>[INSERT NAME OF ISSUING BANK]</w:t>
      </w:r>
      <w:r w:rsidRPr="00510AD0">
        <w:t xml:space="preserve"> LETTER OF CREDIT NO. XXXXXX.</w:t>
      </w:r>
    </w:p>
    <w:p w14:paraId="657FB2F9" w14:textId="77777777" w:rsidR="0055205C" w:rsidRPr="00510AD0" w:rsidRDefault="0055205C" w:rsidP="00AB4C5A">
      <w:pPr>
        <w:pStyle w:val="BodyTextLeft"/>
      </w:pPr>
      <w:r w:rsidRPr="00510AD0">
        <w:t>REMIT FUNDS AS FOLLOWS:</w:t>
      </w:r>
    </w:p>
    <w:p w14:paraId="6F01D963" w14:textId="77777777" w:rsidR="0055205C" w:rsidRPr="00510AD0" w:rsidRDefault="0055205C" w:rsidP="00AB4C5A">
      <w:pPr>
        <w:pStyle w:val="BodyTextLeft"/>
        <w:rPr>
          <w:b/>
          <w:i/>
        </w:rPr>
      </w:pPr>
      <w:r w:rsidRPr="00510AD0">
        <w:rPr>
          <w:b/>
          <w:i/>
          <w:color w:val="0000FF"/>
        </w:rPr>
        <w:t>[INSERT PAYMENT INSTRUCTIONS]</w:t>
      </w:r>
    </w:p>
    <w:p w14:paraId="34FDB07D" w14:textId="77777777" w:rsidR="0055205C" w:rsidRPr="00510AD0" w:rsidRDefault="0055205C" w:rsidP="00AB4C5A">
      <w:pPr>
        <w:pStyle w:val="BodyTextLeft"/>
      </w:pPr>
    </w:p>
    <w:p w14:paraId="03687944" w14:textId="77777777" w:rsidR="0055205C" w:rsidRPr="00510AD0" w:rsidRDefault="0055205C" w:rsidP="00AB4C5A">
      <w:pPr>
        <w:pStyle w:val="BodyTextLeft"/>
      </w:pPr>
      <w:r w:rsidRPr="00510AD0">
        <w:tab/>
      </w:r>
      <w:r w:rsidRPr="00510AD0">
        <w:tab/>
      </w:r>
      <w:r w:rsidRPr="00510AD0">
        <w:tab/>
      </w:r>
      <w:r w:rsidRPr="00510AD0">
        <w:tab/>
      </w:r>
      <w:r w:rsidRPr="00510AD0">
        <w:tab/>
      </w:r>
      <w:r w:rsidRPr="00510AD0">
        <w:tab/>
      </w:r>
      <w:r w:rsidRPr="00510AD0">
        <w:tab/>
        <w:t>DRAWER</w:t>
      </w:r>
    </w:p>
    <w:p w14:paraId="5A00CE9D" w14:textId="77777777" w:rsidR="0055205C" w:rsidRPr="00510AD0" w:rsidRDefault="0055205C" w:rsidP="00AB4C5A">
      <w:pPr>
        <w:pStyle w:val="BodyTextLeft"/>
      </w:pPr>
      <w:r w:rsidRPr="00510AD0">
        <w:tab/>
      </w:r>
      <w:r w:rsidRPr="00510AD0">
        <w:tab/>
      </w:r>
      <w:r w:rsidRPr="00510AD0">
        <w:tab/>
      </w:r>
      <w:r w:rsidRPr="00510AD0">
        <w:tab/>
      </w:r>
      <w:r w:rsidRPr="00510AD0">
        <w:tab/>
      </w:r>
      <w:r w:rsidRPr="00510AD0">
        <w:tab/>
      </w:r>
      <w:r w:rsidRPr="00510AD0">
        <w:tab/>
        <w:t>BY: ________________________________</w:t>
      </w:r>
    </w:p>
    <w:p w14:paraId="6C033D9E" w14:textId="77777777" w:rsidR="0055205C" w:rsidRPr="00510AD0" w:rsidRDefault="0055205C" w:rsidP="00AB4C5A">
      <w:pPr>
        <w:pStyle w:val="BodyTextLeft"/>
      </w:pPr>
      <w:r w:rsidRPr="00510AD0">
        <w:tab/>
      </w:r>
      <w:r w:rsidRPr="00510AD0">
        <w:tab/>
      </w:r>
      <w:r w:rsidRPr="00510AD0">
        <w:tab/>
      </w:r>
      <w:r w:rsidRPr="00510AD0">
        <w:tab/>
      </w:r>
      <w:r w:rsidRPr="00510AD0">
        <w:tab/>
      </w:r>
      <w:r w:rsidRPr="00510AD0">
        <w:tab/>
      </w:r>
      <w:r w:rsidRPr="00510AD0">
        <w:tab/>
      </w:r>
      <w:r w:rsidRPr="00510AD0">
        <w:tab/>
      </w:r>
      <w:r w:rsidRPr="00510AD0">
        <w:tab/>
        <w:t>NAME AND TITLE</w:t>
      </w:r>
    </w:p>
    <w:p w14:paraId="535FB568" w14:textId="77777777" w:rsidR="0055205C" w:rsidRPr="00510AD0" w:rsidRDefault="0055205C" w:rsidP="0037142C">
      <w:pPr>
        <w:pStyle w:val="BodyTextLeft"/>
      </w:pPr>
    </w:p>
    <w:p w14:paraId="19BF3CE9" w14:textId="77777777" w:rsidR="0055205C" w:rsidRPr="00510AD0" w:rsidRDefault="0055205C" w:rsidP="0037142C">
      <w:pPr>
        <w:pStyle w:val="BodyTextLeft"/>
      </w:pPr>
    </w:p>
    <w:p w14:paraId="58908039" w14:textId="77777777" w:rsidR="0055205C" w:rsidRPr="00510AD0" w:rsidRDefault="0055205C" w:rsidP="0037142C">
      <w:pPr>
        <w:pStyle w:val="BodyTextLeft"/>
      </w:pPr>
    </w:p>
    <w:p w14:paraId="3A93F2C8" w14:textId="77777777" w:rsidR="0055205C" w:rsidRPr="00510AD0" w:rsidRDefault="0055205C" w:rsidP="0037142C">
      <w:pPr>
        <w:pStyle w:val="BodyTextLeft"/>
        <w:rPr>
          <w:b/>
          <w:i/>
          <w:color w:val="0000FF"/>
        </w:rPr>
      </w:pPr>
      <w:r w:rsidRPr="00510AD0">
        <w:rPr>
          <w:b/>
          <w:i/>
          <w:color w:val="0000FF"/>
        </w:rPr>
        <w:t>[No Bank’s signature on Exhibit A]</w:t>
      </w:r>
    </w:p>
    <w:p w14:paraId="58D5C7F5" w14:textId="77777777" w:rsidR="0055205C" w:rsidRPr="00510AD0" w:rsidRDefault="0055205C" w:rsidP="0037142C">
      <w:pPr>
        <w:pStyle w:val="BodyTextLeft"/>
        <w:rPr>
          <w:b/>
          <w:i/>
        </w:rPr>
      </w:pPr>
    </w:p>
    <w:p w14:paraId="1C64F206" w14:textId="77777777" w:rsidR="0055205C" w:rsidRPr="00510AD0" w:rsidRDefault="0055205C" w:rsidP="00E907E0">
      <w:pPr>
        <w:spacing w:after="240"/>
        <w:sectPr w:rsidR="0055205C" w:rsidRPr="00510AD0" w:rsidSect="0070095F">
          <w:headerReference w:type="default" r:id="rId41"/>
          <w:footerReference w:type="default" r:id="rId42"/>
          <w:pgSz w:w="12240" w:h="15840"/>
          <w:pgMar w:top="1440" w:right="1440" w:bottom="1440" w:left="1440" w:header="432" w:footer="432" w:gutter="0"/>
          <w:pgNumType w:start="1"/>
          <w:cols w:space="720"/>
          <w:docGrid w:linePitch="360"/>
        </w:sectPr>
      </w:pPr>
    </w:p>
    <w:p w14:paraId="67A598DC" w14:textId="77777777" w:rsidR="0055205C" w:rsidRPr="00510AD0" w:rsidRDefault="0055205C" w:rsidP="00DD660F">
      <w:pPr>
        <w:pStyle w:val="Appendix"/>
      </w:pPr>
      <w:r w:rsidRPr="00510AD0">
        <w:lastRenderedPageBreak/>
        <w:t>APPENDIX VII-B</w:t>
      </w:r>
      <w:r w:rsidRPr="00510AD0">
        <w:br/>
      </w:r>
      <w:r w:rsidRPr="00510AD0">
        <w:br/>
        <w:t>FORM OF GUARANTY FROM A U.S. ENTITY</w:t>
      </w:r>
    </w:p>
    <w:p w14:paraId="56E6111A" w14:textId="77777777" w:rsidR="0055205C" w:rsidRPr="00510AD0" w:rsidRDefault="0055205C" w:rsidP="0037142C">
      <w:pPr>
        <w:pStyle w:val="BodyTextLeft"/>
        <w:jc w:val="center"/>
        <w:rPr>
          <w:b/>
        </w:rPr>
      </w:pPr>
      <w:r w:rsidRPr="00510AD0">
        <w:rPr>
          <w:b/>
        </w:rPr>
        <w:t>GUARANTY AGREEMENT</w:t>
      </w:r>
    </w:p>
    <w:p w14:paraId="532B02D6" w14:textId="418DEEEA" w:rsidR="0055205C" w:rsidRPr="00510AD0" w:rsidRDefault="0055205C" w:rsidP="0037142C">
      <w:pPr>
        <w:pStyle w:val="BodyTextLeft"/>
      </w:pPr>
      <w:r w:rsidRPr="00510AD0">
        <w:t xml:space="preserve">____________________________, a corporation organized under the laws of  _________ (referred to herein as “Seller”) and PACIFIC GAS AND ELECTRIC COMPANY (referred to herein as “PG&amp;E”) are entering into a contract for </w:t>
      </w:r>
      <w:r w:rsidRPr="00510AD0">
        <w:rPr>
          <w:b/>
          <w:i/>
        </w:rPr>
        <w:t xml:space="preserve">[Drafting Note: </w:t>
      </w:r>
      <w:bookmarkStart w:id="914" w:name="_Hlk33652389"/>
      <w:r w:rsidRPr="00510AD0">
        <w:rPr>
          <w:b/>
          <w:i/>
        </w:rPr>
        <w:t>PG&amp;E to update for Project technologies other than energy storage</w:t>
      </w:r>
      <w:r w:rsidRPr="00510AD0">
        <w:t xml:space="preserve"> </w:t>
      </w:r>
      <w:bookmarkEnd w:id="914"/>
      <w:r w:rsidRPr="00510AD0">
        <w:t>energy storage</w:t>
      </w:r>
      <w:r w:rsidRPr="00510AD0">
        <w:rPr>
          <w:b/>
          <w:i/>
        </w:rPr>
        <w:t>]</w:t>
      </w:r>
      <w:r w:rsidRPr="00510AD0">
        <w:t xml:space="preserve"> services.  That contract, titled a</w:t>
      </w:r>
      <w:r w:rsidRPr="00510AD0">
        <w:rPr>
          <w:b/>
          <w:i/>
          <w:color w:val="0000FF"/>
        </w:rPr>
        <w:t xml:space="preserve"> [insert name of the agreement]</w:t>
      </w:r>
      <w:r w:rsidRPr="00510AD0">
        <w:t xml:space="preserve"> and dated __________, is referred to herein as the “Contract.”  Seller is a </w:t>
      </w:r>
      <w:r w:rsidRPr="00510AD0">
        <w:rPr>
          <w:b/>
          <w:i/>
          <w:color w:val="0000FF"/>
        </w:rPr>
        <w:t>[list relationship of Seller to Guarantor]</w:t>
      </w:r>
      <w:r w:rsidRPr="00510AD0">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3418B744" w14:textId="77777777" w:rsidR="0055205C" w:rsidRPr="00510AD0" w:rsidRDefault="0055205C" w:rsidP="0037142C">
      <w:pPr>
        <w:pStyle w:val="BodyText"/>
      </w:pPr>
      <w:r w:rsidRPr="00510AD0">
        <w:t>(a)</w:t>
      </w:r>
      <w:r w:rsidRPr="00510AD0">
        <w:tab/>
      </w:r>
      <w:r w:rsidRPr="00510AD0">
        <w:rPr>
          <w:b/>
          <w:u w:val="single"/>
        </w:rPr>
        <w:t>Guaranty and Obligations</w:t>
      </w:r>
      <w:r w:rsidRPr="00510AD0">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33B7848" w14:textId="77777777" w:rsidR="0055205C" w:rsidRPr="00510AD0" w:rsidRDefault="0055205C" w:rsidP="0037142C">
      <w:pPr>
        <w:pStyle w:val="BodyText"/>
      </w:pPr>
      <w:r w:rsidRPr="00510AD0">
        <w:t>(b)</w:t>
      </w:r>
      <w:r w:rsidRPr="00510AD0">
        <w:tab/>
      </w:r>
      <w:r w:rsidRPr="00510AD0">
        <w:rPr>
          <w:b/>
          <w:u w:val="single"/>
        </w:rPr>
        <w:t>Guaranty of Payment</w:t>
      </w:r>
      <w:r w:rsidRPr="00510AD0">
        <w:t xml:space="preserve">.  The Guarantor hereby agrees that its obligations under this Guaranty constitute a guaranty of payment when due and not of collection. </w:t>
      </w:r>
    </w:p>
    <w:p w14:paraId="0B822E10" w14:textId="77777777" w:rsidR="0055205C" w:rsidRPr="00510AD0" w:rsidRDefault="0055205C" w:rsidP="0037142C">
      <w:pPr>
        <w:pStyle w:val="BodyText"/>
      </w:pPr>
      <w:r w:rsidRPr="00510AD0">
        <w:t>(c)</w:t>
      </w:r>
      <w:r w:rsidRPr="00510AD0">
        <w:tab/>
      </w:r>
      <w:r w:rsidRPr="00510AD0">
        <w:rPr>
          <w:b/>
          <w:u w:val="single"/>
        </w:rPr>
        <w:t>Nature of Guaranty</w:t>
      </w:r>
      <w:r w:rsidRPr="00510AD0">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w:t>
      </w:r>
      <w:r w:rsidRPr="00510AD0">
        <w:lastRenderedPageBreak/>
        <w:t xml:space="preserve">the Contract or any agreement between the Seller and PG&amp;E, without in any way impairing or affecting this Guaranty.  </w:t>
      </w:r>
    </w:p>
    <w:p w14:paraId="1C2DCF5E" w14:textId="77777777" w:rsidR="0055205C" w:rsidRPr="00510AD0" w:rsidRDefault="0055205C" w:rsidP="0037142C">
      <w:pPr>
        <w:pStyle w:val="BodyText"/>
      </w:pPr>
      <w:r w:rsidRPr="00510AD0">
        <w:t>(d)</w:t>
      </w:r>
      <w:r w:rsidRPr="00510AD0">
        <w:tab/>
      </w:r>
      <w:r w:rsidRPr="00510AD0">
        <w:rPr>
          <w:b/>
          <w:u w:val="single"/>
        </w:rPr>
        <w:t>Termination</w:t>
      </w:r>
      <w:r w:rsidRPr="00510AD0">
        <w:t xml:space="preserve">.  This Guaranty may not be terminated by the Guarantor and shall remain in full force and effect until all of the Obligations of the Seller under or arising out of the Contract have been fully performed. </w:t>
      </w:r>
    </w:p>
    <w:p w14:paraId="2478FB6D" w14:textId="77777777" w:rsidR="0055205C" w:rsidRPr="00510AD0" w:rsidRDefault="0055205C" w:rsidP="0037142C">
      <w:pPr>
        <w:pStyle w:val="BodyText"/>
      </w:pPr>
      <w:r w:rsidRPr="00510AD0">
        <w:t>(e)</w:t>
      </w:r>
      <w:r w:rsidRPr="00510AD0">
        <w:tab/>
      </w:r>
      <w:r w:rsidRPr="00510AD0">
        <w:rPr>
          <w:b/>
          <w:u w:val="single"/>
        </w:rPr>
        <w:t>Rescinded Payment; Independent Liability</w:t>
      </w:r>
      <w:r w:rsidRPr="00510AD0">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bookmarkStart w:id="915" w:name="DocXTextRef385"/>
      <w:r w:rsidRPr="00510AD0">
        <w:t>(i)</w:t>
      </w:r>
      <w:bookmarkEnd w:id="915"/>
      <w:r w:rsidRPr="00510AD0">
        <w:t xml:space="preserve">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w:t>
      </w:r>
      <w:bookmarkStart w:id="916" w:name="DocXTextRef386"/>
      <w:r w:rsidRPr="00510AD0">
        <w:t>(v)</w:t>
      </w:r>
      <w:bookmarkEnd w:id="916"/>
      <w:r w:rsidRPr="00510AD0">
        <w:t xml:space="preserve">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505259DE" w14:textId="77777777" w:rsidR="0055205C" w:rsidRPr="00510AD0" w:rsidRDefault="0055205C" w:rsidP="0037142C">
      <w:pPr>
        <w:pStyle w:val="BodyText"/>
      </w:pPr>
      <w:r w:rsidRPr="00510AD0">
        <w:t>(f)</w:t>
      </w:r>
      <w:r w:rsidRPr="00510AD0">
        <w:tab/>
      </w:r>
      <w:r w:rsidRPr="00510AD0">
        <w:rPr>
          <w:b/>
          <w:u w:val="single"/>
        </w:rPr>
        <w:t>Guarantor Waivers</w:t>
      </w:r>
      <w:r w:rsidRPr="00510AD0">
        <w:t xml:space="preserve">.  The Guarantor hereby waives </w:t>
      </w:r>
      <w:bookmarkStart w:id="917" w:name="DocXTextRef388"/>
      <w:r w:rsidRPr="00510AD0">
        <w:t>(i)</w:t>
      </w:r>
      <w:bookmarkEnd w:id="917"/>
      <w:r w:rsidRPr="00510AD0">
        <w:t xml:space="preserve"> promptness, diligence, presentment, demand of payment, protest, order and, except as set forth in paragraph </w:t>
      </w:r>
      <w:bookmarkStart w:id="918" w:name="DocXTextRef387"/>
      <w:r w:rsidRPr="00510AD0">
        <w:t>(a)</w:t>
      </w:r>
      <w:bookmarkEnd w:id="918"/>
      <w:r w:rsidRPr="00510AD0">
        <w:t xml:space="preserve">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w:t>
      </w:r>
      <w:bookmarkStart w:id="919" w:name="DocXTextRef389"/>
      <w:r w:rsidRPr="00510AD0">
        <w:t>(A)</w:t>
      </w:r>
      <w:bookmarkEnd w:id="919"/>
      <w:r w:rsidRPr="00510AD0">
        <w:t xml:space="preserve"> proceed against or exhaust any insurance or security held from the Seller or any other party, or </w:t>
      </w:r>
      <w:bookmarkStart w:id="920" w:name="DocXTextRef390"/>
      <w:r w:rsidRPr="00510AD0">
        <w:t>(B)</w:t>
      </w:r>
      <w:bookmarkEnd w:id="920"/>
      <w:r w:rsidRPr="00510AD0">
        <w:t xml:space="preserve"> pursue any other remedy available to PG&amp;E; </w:t>
      </w:r>
      <w:bookmarkStart w:id="921" w:name="DocXTextRef391"/>
      <w:r w:rsidRPr="00510AD0">
        <w:t>(v)</w:t>
      </w:r>
      <w:bookmarkEnd w:id="921"/>
      <w:r w:rsidRPr="00510AD0">
        <w:t xml:space="preserve"> any defense based on or arising out </w:t>
      </w:r>
      <w:r w:rsidRPr="00510AD0">
        <w:lastRenderedPageBreak/>
        <w:t>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024E6841" w14:textId="77777777" w:rsidR="0055205C" w:rsidRPr="00510AD0" w:rsidRDefault="0055205C" w:rsidP="0037142C">
      <w:pPr>
        <w:pStyle w:val="BodyText"/>
      </w:pPr>
      <w:r w:rsidRPr="00510AD0">
        <w:t>(g)</w:t>
      </w:r>
      <w:r w:rsidRPr="00510AD0">
        <w:tab/>
      </w:r>
      <w:r w:rsidRPr="00510AD0">
        <w:rPr>
          <w:b/>
          <w:u w:val="single"/>
        </w:rPr>
        <w:t>No Assignment of Guaranty Obligations Without Consent</w:t>
      </w:r>
      <w:r w:rsidRPr="00510AD0">
        <w:t>.  The Guarantor may not assign or otherwise transfer its obligations under this Guaranty to any other party without the prior written consent of PG&amp;E, the exercise of which shall be in PG&amp;E’s sole discretion.</w:t>
      </w:r>
    </w:p>
    <w:p w14:paraId="1502277C" w14:textId="77777777" w:rsidR="0055205C" w:rsidRPr="00510AD0" w:rsidRDefault="0055205C" w:rsidP="0037142C">
      <w:pPr>
        <w:pStyle w:val="BodyText"/>
      </w:pPr>
      <w:r w:rsidRPr="00510AD0">
        <w:t>(h)</w:t>
      </w:r>
      <w:r w:rsidRPr="00510AD0">
        <w:tab/>
      </w:r>
      <w:r w:rsidRPr="00510AD0">
        <w:rPr>
          <w:b/>
          <w:u w:val="single"/>
        </w:rPr>
        <w:t>Governing Law</w:t>
      </w:r>
      <w:r w:rsidRPr="00510AD0">
        <w:t>.  This Guaranty shall be governed by and construed in accordance with the laws of the State of New York, without reference to choice of law doctrine.</w:t>
      </w:r>
    </w:p>
    <w:p w14:paraId="0EB1776D" w14:textId="77777777" w:rsidR="0055205C" w:rsidRPr="00510AD0" w:rsidRDefault="0055205C" w:rsidP="0037142C">
      <w:pPr>
        <w:pStyle w:val="BodyText"/>
      </w:pPr>
      <w:r w:rsidRPr="00510AD0">
        <w:t>(i)</w:t>
      </w:r>
      <w:r w:rsidRPr="00510AD0">
        <w:tab/>
      </w:r>
      <w:r w:rsidRPr="00510AD0">
        <w:rPr>
          <w:b/>
          <w:u w:val="single"/>
        </w:rPr>
        <w:t>Jurisdiction</w:t>
      </w:r>
      <w:r w:rsidRPr="00510AD0">
        <w:t xml:space="preserve">.  With respect to any suit, action or proceedings (collectively “Proceedings”) relating to this Guaranty Agreement, Guarantor irrevocably: </w:t>
      </w:r>
      <w:bookmarkStart w:id="922" w:name="DocXTextRef392"/>
      <w:r w:rsidRPr="00510AD0">
        <w:t>(i)</w:t>
      </w:r>
      <w:bookmarkEnd w:id="922"/>
      <w:r w:rsidRPr="00510AD0">
        <w:t xml:space="preserve">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493F3DA1" w14:textId="77777777" w:rsidR="0055205C" w:rsidRPr="00510AD0" w:rsidRDefault="0055205C" w:rsidP="0037142C">
      <w:pPr>
        <w:pStyle w:val="BodyText"/>
      </w:pPr>
      <w:r w:rsidRPr="00510AD0">
        <w:t>(j)</w:t>
      </w:r>
      <w:r w:rsidRPr="00510AD0">
        <w:tab/>
      </w:r>
      <w:r w:rsidRPr="00510AD0">
        <w:rPr>
          <w:b/>
          <w:u w:val="single"/>
        </w:rPr>
        <w:t>Severability</w:t>
      </w:r>
      <w:r w:rsidRPr="00510AD0">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1A2C29B3" w14:textId="77777777" w:rsidR="0055205C" w:rsidRPr="00510AD0" w:rsidRDefault="0055205C" w:rsidP="0037142C">
      <w:pPr>
        <w:pStyle w:val="BodyText"/>
      </w:pPr>
      <w:r w:rsidRPr="00510AD0">
        <w:t>(k)</w:t>
      </w:r>
      <w:r w:rsidRPr="00510AD0">
        <w:tab/>
      </w:r>
      <w:r w:rsidRPr="00510AD0">
        <w:rPr>
          <w:b/>
          <w:u w:val="single"/>
        </w:rPr>
        <w:t>Representations and Warranties</w:t>
      </w:r>
      <w:r w:rsidRPr="00510AD0">
        <w:t xml:space="preserve">.  The Guarantor, through its undersigned officer, represents and warrants to PG&amp;E that </w:t>
      </w:r>
      <w:bookmarkStart w:id="923" w:name="DocXTextRef393"/>
      <w:r w:rsidRPr="00510AD0">
        <w:t>(i)</w:t>
      </w:r>
      <w:bookmarkEnd w:id="923"/>
      <w:r w:rsidRPr="00510AD0">
        <w:t xml:space="preserve">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w:t>
      </w:r>
      <w:r w:rsidRPr="00510AD0">
        <w:lastRenderedPageBreak/>
        <w:t xml:space="preserve">duly executed and delivered this Guaranty, and </w:t>
      </w:r>
      <w:bookmarkStart w:id="924" w:name="DocXTextRef394"/>
      <w:r w:rsidRPr="00510AD0">
        <w:t>(v)</w:t>
      </w:r>
      <w:bookmarkEnd w:id="924"/>
      <w:r w:rsidRPr="00510AD0">
        <w:t xml:space="preserve"> this Guaranty constitutes the legal, valid and binding obligation of the Guarantor enforceable in accordance with its terms.</w:t>
      </w:r>
    </w:p>
    <w:p w14:paraId="2B487432" w14:textId="77777777" w:rsidR="0055205C" w:rsidRPr="00510AD0" w:rsidRDefault="0055205C" w:rsidP="0037142C">
      <w:pPr>
        <w:pStyle w:val="BodyText"/>
      </w:pPr>
      <w:r w:rsidRPr="00510AD0">
        <w:rPr>
          <w:lang w:val="pt-PT"/>
        </w:rPr>
        <w:t>(l)</w:t>
      </w:r>
      <w:r w:rsidRPr="00510AD0">
        <w:rPr>
          <w:lang w:val="pt-PT"/>
        </w:rPr>
        <w:tab/>
      </w:r>
      <w:r w:rsidRPr="00510AD0">
        <w:rPr>
          <w:b/>
          <w:u w:val="single"/>
          <w:lang w:val="pt-PT"/>
        </w:rPr>
        <w:t>No Amendment; No PG&amp;E Waiver</w:t>
      </w:r>
      <w:r w:rsidRPr="00510AD0">
        <w:rPr>
          <w:lang w:val="pt-PT"/>
        </w:rPr>
        <w:t xml:space="preserve">.  </w:t>
      </w:r>
      <w:r w:rsidRPr="00510AD0">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159E7689" w14:textId="77777777" w:rsidR="0055205C" w:rsidRPr="00510AD0" w:rsidRDefault="0055205C" w:rsidP="0037142C">
      <w:pPr>
        <w:pStyle w:val="BodyText"/>
      </w:pPr>
      <w:r w:rsidRPr="00510AD0">
        <w:t>(m)</w:t>
      </w:r>
      <w:r w:rsidRPr="00510AD0">
        <w:tab/>
      </w:r>
      <w:r w:rsidRPr="00510AD0">
        <w:rPr>
          <w:b/>
          <w:u w:val="single"/>
        </w:rPr>
        <w:t>Notices</w:t>
      </w:r>
      <w:r w:rsidRPr="00510AD0">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B362D79" w14:textId="77777777" w:rsidR="0055205C" w:rsidRPr="00510AD0" w:rsidRDefault="0055205C" w:rsidP="0037142C">
      <w:pPr>
        <w:pStyle w:val="BodyTextLeft"/>
      </w:pPr>
      <w:r w:rsidRPr="00510AD0">
        <w:t xml:space="preserve">If to Guarantor: </w:t>
      </w:r>
    </w:p>
    <w:p w14:paraId="687B74A3" w14:textId="77777777" w:rsidR="0055205C" w:rsidRPr="00510AD0" w:rsidRDefault="0055205C" w:rsidP="0037142C">
      <w:pPr>
        <w:pStyle w:val="BodyText"/>
      </w:pPr>
      <w:r w:rsidRPr="00510AD0">
        <w:t>______________________________________</w:t>
      </w:r>
    </w:p>
    <w:p w14:paraId="633690D1" w14:textId="77777777" w:rsidR="0055205C" w:rsidRPr="00510AD0" w:rsidRDefault="0055205C" w:rsidP="0037142C">
      <w:pPr>
        <w:pStyle w:val="BodyText"/>
      </w:pPr>
      <w:r w:rsidRPr="00510AD0">
        <w:t>______________________________________</w:t>
      </w:r>
    </w:p>
    <w:p w14:paraId="3F5E8894" w14:textId="77777777" w:rsidR="0055205C" w:rsidRPr="00510AD0" w:rsidRDefault="0055205C" w:rsidP="0037142C">
      <w:pPr>
        <w:pStyle w:val="BodyText"/>
      </w:pPr>
    </w:p>
    <w:p w14:paraId="28AA69C3" w14:textId="77777777" w:rsidR="0055205C" w:rsidRPr="00510AD0" w:rsidRDefault="0055205C" w:rsidP="0037142C">
      <w:pPr>
        <w:pStyle w:val="BodyTextLeft"/>
      </w:pPr>
      <w:r w:rsidRPr="00510AD0">
        <w:t>If to PG&amp;E: Pacific Gas and Electric Company</w:t>
      </w:r>
    </w:p>
    <w:p w14:paraId="2CA82912" w14:textId="77777777" w:rsidR="0055205C" w:rsidRPr="00510AD0" w:rsidRDefault="0055205C" w:rsidP="0037142C">
      <w:pPr>
        <w:pStyle w:val="BodyText"/>
      </w:pPr>
      <w:r w:rsidRPr="00510AD0">
        <w:t>______________________________________</w:t>
      </w:r>
    </w:p>
    <w:p w14:paraId="4A3C591A" w14:textId="77777777" w:rsidR="0055205C" w:rsidRPr="00510AD0" w:rsidRDefault="0055205C" w:rsidP="0037142C">
      <w:pPr>
        <w:pStyle w:val="BodyText"/>
      </w:pPr>
      <w:r w:rsidRPr="00510AD0">
        <w:t>______________________________________</w:t>
      </w:r>
    </w:p>
    <w:p w14:paraId="083311D1" w14:textId="77777777" w:rsidR="0055205C" w:rsidRPr="00510AD0" w:rsidRDefault="0055205C" w:rsidP="0037142C">
      <w:pPr>
        <w:pStyle w:val="BodyTextLeft"/>
      </w:pPr>
      <w:r w:rsidRPr="00510AD0">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2A3F2A76" w14:textId="77777777" w:rsidR="0055205C" w:rsidRPr="00510AD0" w:rsidRDefault="0055205C" w:rsidP="0037142C">
      <w:pPr>
        <w:pStyle w:val="BodyTextLeft"/>
      </w:pPr>
      <w:r w:rsidRPr="00510AD0">
        <w:t xml:space="preserve">IN WITNESS WHEREOF, the Guarantor has caused this Guaranty to be executed in its name by its duly authorized officer as of the date set forth below. </w:t>
      </w:r>
    </w:p>
    <w:p w14:paraId="544CB8CC" w14:textId="77777777" w:rsidR="0055205C" w:rsidRPr="00510AD0" w:rsidRDefault="0055205C" w:rsidP="0037142C">
      <w:pPr>
        <w:pStyle w:val="BodyTextLeft"/>
      </w:pPr>
    </w:p>
    <w:p w14:paraId="1E5A5256" w14:textId="77777777" w:rsidR="0055205C" w:rsidRPr="00510AD0" w:rsidRDefault="0055205C" w:rsidP="0037142C">
      <w:pPr>
        <w:pStyle w:val="BodyTextLeft"/>
        <w:tabs>
          <w:tab w:val="left" w:pos="4320"/>
        </w:tabs>
        <w:rPr>
          <w:u w:val="single"/>
        </w:rPr>
      </w:pPr>
      <w:r w:rsidRPr="00510AD0">
        <w:rPr>
          <w:u w:val="single"/>
        </w:rPr>
        <w:lastRenderedPageBreak/>
        <w:t xml:space="preserve">     [Name of Guarantor]</w:t>
      </w:r>
      <w:r w:rsidRPr="00510AD0">
        <w:rPr>
          <w:u w:val="single"/>
        </w:rPr>
        <w:tab/>
      </w:r>
    </w:p>
    <w:p w14:paraId="0A157A1F" w14:textId="77777777" w:rsidR="0055205C" w:rsidRPr="00510AD0" w:rsidRDefault="0055205C" w:rsidP="0037142C">
      <w:pPr>
        <w:pStyle w:val="BodyTextLeft"/>
        <w:tabs>
          <w:tab w:val="left" w:pos="4320"/>
        </w:tabs>
        <w:rPr>
          <w:u w:val="single"/>
        </w:rPr>
      </w:pPr>
      <w:r w:rsidRPr="00510AD0">
        <w:t xml:space="preserve">By: </w:t>
      </w:r>
      <w:r w:rsidRPr="00510AD0">
        <w:rPr>
          <w:u w:val="single"/>
        </w:rPr>
        <w:tab/>
      </w:r>
    </w:p>
    <w:p w14:paraId="74FAB8AC" w14:textId="77777777" w:rsidR="0055205C" w:rsidRPr="00510AD0" w:rsidRDefault="0055205C" w:rsidP="0037142C">
      <w:pPr>
        <w:pStyle w:val="BodyTextLeft"/>
        <w:tabs>
          <w:tab w:val="left" w:pos="4320"/>
        </w:tabs>
        <w:rPr>
          <w:u w:val="single"/>
        </w:rPr>
      </w:pPr>
      <w:r w:rsidRPr="00510AD0">
        <w:t xml:space="preserve">Name: </w:t>
      </w:r>
      <w:r w:rsidRPr="00510AD0">
        <w:rPr>
          <w:u w:val="single"/>
        </w:rPr>
        <w:tab/>
      </w:r>
    </w:p>
    <w:p w14:paraId="518B8E47" w14:textId="77777777" w:rsidR="0055205C" w:rsidRPr="00510AD0" w:rsidRDefault="0055205C" w:rsidP="0037142C">
      <w:pPr>
        <w:pStyle w:val="BodyTextLeft"/>
        <w:tabs>
          <w:tab w:val="left" w:pos="4320"/>
        </w:tabs>
        <w:rPr>
          <w:u w:val="single"/>
        </w:rPr>
      </w:pPr>
      <w:r w:rsidRPr="00510AD0">
        <w:t xml:space="preserve">Title: </w:t>
      </w:r>
      <w:r w:rsidRPr="00510AD0">
        <w:rPr>
          <w:u w:val="single"/>
        </w:rPr>
        <w:tab/>
      </w:r>
    </w:p>
    <w:p w14:paraId="71DE13EE" w14:textId="77777777" w:rsidR="0055205C" w:rsidRPr="00510AD0" w:rsidRDefault="0055205C" w:rsidP="0037142C">
      <w:pPr>
        <w:pStyle w:val="BodyTextLeft"/>
        <w:tabs>
          <w:tab w:val="left" w:pos="4320"/>
        </w:tabs>
        <w:sectPr w:rsidR="0055205C" w:rsidRPr="00510AD0" w:rsidSect="00981500">
          <w:headerReference w:type="default" r:id="rId43"/>
          <w:footerReference w:type="default" r:id="rId44"/>
          <w:pgSz w:w="12240" w:h="15840"/>
          <w:pgMar w:top="1440" w:right="1440" w:bottom="1440" w:left="1440" w:header="432" w:footer="432" w:gutter="0"/>
          <w:pgNumType w:start="1"/>
          <w:cols w:space="720"/>
          <w:docGrid w:linePitch="360"/>
        </w:sectPr>
      </w:pPr>
      <w:r w:rsidRPr="00510AD0">
        <w:t xml:space="preserve">Date: </w:t>
      </w:r>
      <w:r w:rsidRPr="00510AD0">
        <w:rPr>
          <w:u w:val="single"/>
        </w:rPr>
        <w:tab/>
      </w:r>
    </w:p>
    <w:p w14:paraId="6FAF7F01" w14:textId="77777777" w:rsidR="0055205C" w:rsidRPr="00510AD0" w:rsidRDefault="0055205C" w:rsidP="00DD660F">
      <w:pPr>
        <w:pStyle w:val="Appendix"/>
      </w:pPr>
      <w:r w:rsidRPr="00510AD0">
        <w:lastRenderedPageBreak/>
        <w:t xml:space="preserve">APPENDIX VII-C </w:t>
      </w:r>
      <w:r w:rsidRPr="00510AD0">
        <w:br/>
      </w:r>
      <w:r w:rsidRPr="00510AD0">
        <w:br/>
        <w:t>FORM OF GUARANTY FROM A NON-U.S. ENTITY</w:t>
      </w:r>
    </w:p>
    <w:p w14:paraId="3AA838C8" w14:textId="77777777" w:rsidR="0055205C" w:rsidRPr="00510AD0" w:rsidRDefault="0055205C" w:rsidP="00E907E0">
      <w:pPr>
        <w:spacing w:after="240"/>
        <w:jc w:val="center"/>
        <w:rPr>
          <w:b/>
        </w:rPr>
      </w:pPr>
      <w:r w:rsidRPr="00510AD0">
        <w:rPr>
          <w:b/>
        </w:rPr>
        <w:t>GUARANTY AGREEMENT</w:t>
      </w:r>
    </w:p>
    <w:p w14:paraId="62972E64" w14:textId="7D13505C" w:rsidR="0055205C" w:rsidRPr="00510AD0" w:rsidRDefault="0055205C" w:rsidP="0037142C">
      <w:pPr>
        <w:pStyle w:val="BodyTextLeft"/>
      </w:pPr>
      <w:r w:rsidRPr="00510AD0">
        <w:t xml:space="preserve">____________________________, a corporation organized under the laws of  _________ (referred to herein as “Seller”) and PACIFIC GAS AND ELECTRIC COMPANY (referred to herein as “PG&amp;E”) are entering into a contract for </w:t>
      </w:r>
      <w:r w:rsidRPr="00510AD0">
        <w:rPr>
          <w:b/>
          <w:i/>
        </w:rPr>
        <w:t>[Drafting Note: PG&amp;E to update for Project technologies other than energy storage</w:t>
      </w:r>
      <w:r w:rsidRPr="00510AD0">
        <w:t xml:space="preserve"> energy storage</w:t>
      </w:r>
      <w:r w:rsidRPr="00510AD0">
        <w:rPr>
          <w:b/>
          <w:i/>
        </w:rPr>
        <w:t>]</w:t>
      </w:r>
      <w:r w:rsidRPr="00510AD0">
        <w:t xml:space="preserve"> services.  That contract, titled a </w:t>
      </w:r>
      <w:r w:rsidRPr="00510AD0">
        <w:rPr>
          <w:b/>
          <w:i/>
          <w:color w:val="0000FF"/>
        </w:rPr>
        <w:t>[insert name of the agreement]</w:t>
      </w:r>
      <w:r w:rsidRPr="00510AD0">
        <w:t xml:space="preserve"> and dated __________, is referred to herein as the “Contract.”  Seller is a </w:t>
      </w:r>
      <w:r w:rsidRPr="00510AD0">
        <w:rPr>
          <w:b/>
          <w:i/>
          <w:color w:val="0000FF"/>
        </w:rPr>
        <w:t>[list relationship of Seller to Guarantor]</w:t>
      </w:r>
      <w:r w:rsidRPr="00510AD0">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5CDB9515" w14:textId="77777777" w:rsidR="0055205C" w:rsidRPr="00510AD0" w:rsidRDefault="0055205C" w:rsidP="0037142C">
      <w:pPr>
        <w:pStyle w:val="BodyText"/>
      </w:pPr>
      <w:r w:rsidRPr="00510AD0">
        <w:t>(a)</w:t>
      </w:r>
      <w:r w:rsidRPr="00510AD0">
        <w:tab/>
      </w:r>
      <w:r w:rsidRPr="00510AD0">
        <w:rPr>
          <w:b/>
          <w:u w:val="single"/>
        </w:rPr>
        <w:t>Guaranty and Obligations</w:t>
      </w:r>
      <w:r w:rsidRPr="00510AD0">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6EF32FE7" w14:textId="77777777" w:rsidR="0055205C" w:rsidRPr="00510AD0" w:rsidRDefault="0055205C" w:rsidP="0037142C">
      <w:pPr>
        <w:pStyle w:val="BodyText"/>
      </w:pPr>
      <w:r w:rsidRPr="00510AD0">
        <w:t>(b)</w:t>
      </w:r>
      <w:r w:rsidRPr="00510AD0">
        <w:tab/>
      </w:r>
      <w:r w:rsidRPr="00510AD0">
        <w:rPr>
          <w:b/>
          <w:u w:val="single"/>
        </w:rPr>
        <w:t>Guaranty of Payment</w:t>
      </w:r>
      <w:r w:rsidRPr="00510AD0">
        <w:t xml:space="preserve">.  The Guarantor hereby agrees that its obligations under this Guaranty constitute a guaranty of payment when due and not of collection. </w:t>
      </w:r>
    </w:p>
    <w:p w14:paraId="028192A1" w14:textId="77777777" w:rsidR="0055205C" w:rsidRPr="00510AD0" w:rsidRDefault="0055205C" w:rsidP="0037142C">
      <w:pPr>
        <w:pStyle w:val="BodyText"/>
      </w:pPr>
      <w:r w:rsidRPr="00510AD0">
        <w:t>(c)</w:t>
      </w:r>
      <w:r w:rsidRPr="00510AD0">
        <w:tab/>
      </w:r>
      <w:r w:rsidRPr="00510AD0">
        <w:rPr>
          <w:b/>
          <w:u w:val="single"/>
        </w:rPr>
        <w:t>Nature of Guaranty</w:t>
      </w:r>
      <w:r w:rsidRPr="00510AD0">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w:t>
      </w:r>
      <w:r w:rsidRPr="00510AD0">
        <w:lastRenderedPageBreak/>
        <w:t xml:space="preserve">the Contract or any agreement between the Seller and PG&amp;E, without in any way impairing or affecting this Guaranty.  </w:t>
      </w:r>
    </w:p>
    <w:p w14:paraId="3FE2D892" w14:textId="77777777" w:rsidR="0055205C" w:rsidRPr="00510AD0" w:rsidRDefault="0055205C" w:rsidP="0037142C">
      <w:pPr>
        <w:pStyle w:val="BodyText"/>
      </w:pPr>
      <w:r w:rsidRPr="00510AD0">
        <w:t>(d)</w:t>
      </w:r>
      <w:r w:rsidRPr="00510AD0">
        <w:tab/>
      </w:r>
      <w:r w:rsidRPr="00510AD0">
        <w:rPr>
          <w:b/>
          <w:u w:val="single"/>
        </w:rPr>
        <w:t>Termination</w:t>
      </w:r>
      <w:r w:rsidRPr="00510AD0">
        <w:t xml:space="preserve">.  This Guaranty may not be terminated by the Guarantor and shall remain in full force and effect until all of the Obligations of the Seller under or arising out of the Contract have been fully performed. </w:t>
      </w:r>
    </w:p>
    <w:p w14:paraId="7C9B27B6" w14:textId="77777777" w:rsidR="0055205C" w:rsidRPr="00510AD0" w:rsidRDefault="0055205C" w:rsidP="0037142C">
      <w:pPr>
        <w:pStyle w:val="BodyText"/>
      </w:pPr>
      <w:r w:rsidRPr="00510AD0">
        <w:t>(e)</w:t>
      </w:r>
      <w:r w:rsidRPr="00510AD0">
        <w:tab/>
      </w:r>
      <w:r w:rsidRPr="00510AD0">
        <w:rPr>
          <w:b/>
          <w:u w:val="single"/>
        </w:rPr>
        <w:t>Rescinded Payment; Independent Liability</w:t>
      </w:r>
      <w:r w:rsidRPr="00510AD0">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bookmarkStart w:id="925" w:name="DocXTextRef395"/>
      <w:r w:rsidRPr="00510AD0">
        <w:t>(i)</w:t>
      </w:r>
      <w:bookmarkEnd w:id="925"/>
      <w:r w:rsidRPr="00510AD0">
        <w:t xml:space="preserve">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w:t>
      </w:r>
      <w:bookmarkStart w:id="926" w:name="DocXTextRef396"/>
      <w:r w:rsidRPr="00510AD0">
        <w:t>(v)</w:t>
      </w:r>
      <w:bookmarkEnd w:id="926"/>
      <w:r w:rsidRPr="00510AD0">
        <w:t xml:space="preserve">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674F7DAE" w14:textId="77777777" w:rsidR="0055205C" w:rsidRPr="00510AD0" w:rsidRDefault="0055205C" w:rsidP="0037142C">
      <w:pPr>
        <w:pStyle w:val="BodyText"/>
      </w:pPr>
      <w:r w:rsidRPr="00510AD0">
        <w:t>(f)</w:t>
      </w:r>
      <w:r w:rsidRPr="00510AD0">
        <w:tab/>
      </w:r>
      <w:r w:rsidRPr="00510AD0">
        <w:rPr>
          <w:b/>
          <w:u w:val="single"/>
        </w:rPr>
        <w:t>Guarantor Waivers</w:t>
      </w:r>
      <w:r w:rsidRPr="00510AD0">
        <w:t xml:space="preserve">.  The Guarantor hereby waives </w:t>
      </w:r>
      <w:bookmarkStart w:id="927" w:name="DocXTextRef398"/>
      <w:r w:rsidRPr="00510AD0">
        <w:t>(i)</w:t>
      </w:r>
      <w:bookmarkEnd w:id="927"/>
      <w:r w:rsidRPr="00510AD0">
        <w:t xml:space="preserve"> promptness, diligence, presentment, demand of payment, protest, order and, except as set forth in paragraph </w:t>
      </w:r>
      <w:bookmarkStart w:id="928" w:name="DocXTextRef397"/>
      <w:r w:rsidRPr="00510AD0">
        <w:t>(a)</w:t>
      </w:r>
      <w:bookmarkEnd w:id="928"/>
      <w:r w:rsidRPr="00510AD0">
        <w:t xml:space="preserve">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w:t>
      </w:r>
      <w:bookmarkStart w:id="929" w:name="DocXTextRef399"/>
      <w:r w:rsidRPr="00510AD0">
        <w:t>(A)</w:t>
      </w:r>
      <w:bookmarkEnd w:id="929"/>
      <w:r w:rsidRPr="00510AD0">
        <w:t xml:space="preserve"> proceed against or exhaust any insurance or security held from the Seller or any other party, or </w:t>
      </w:r>
      <w:bookmarkStart w:id="930" w:name="DocXTextRef400"/>
      <w:r w:rsidRPr="00510AD0">
        <w:t>(B)</w:t>
      </w:r>
      <w:bookmarkEnd w:id="930"/>
      <w:r w:rsidRPr="00510AD0">
        <w:t xml:space="preserve"> pursue any other remedy available to PG&amp;E; </w:t>
      </w:r>
      <w:bookmarkStart w:id="931" w:name="DocXTextRef401"/>
      <w:r w:rsidRPr="00510AD0">
        <w:t>(v)</w:t>
      </w:r>
      <w:bookmarkEnd w:id="931"/>
      <w:r w:rsidRPr="00510AD0">
        <w:t xml:space="preserve"> any defense based on or arising out </w:t>
      </w:r>
      <w:r w:rsidRPr="00510AD0">
        <w:lastRenderedPageBreak/>
        <w:t>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6F95731F" w14:textId="77777777" w:rsidR="0055205C" w:rsidRPr="00510AD0" w:rsidRDefault="0055205C" w:rsidP="0037142C">
      <w:pPr>
        <w:pStyle w:val="BodyText"/>
      </w:pPr>
      <w:r w:rsidRPr="00510AD0">
        <w:t>(g)</w:t>
      </w:r>
      <w:r w:rsidRPr="00510AD0">
        <w:tab/>
      </w:r>
      <w:r w:rsidRPr="00510AD0">
        <w:rPr>
          <w:b/>
          <w:u w:val="single"/>
        </w:rPr>
        <w:t>No Assignment of Guaranty Obligations Without Consent</w:t>
      </w:r>
      <w:r w:rsidRPr="00510AD0">
        <w:t>.  The Guarantor may not assign or otherwise transfer its obligations under this Guaranty to any other party without the prior written consent of PG&amp;E, the exercise of which shall be in PG&amp;E’s sole discretion.</w:t>
      </w:r>
    </w:p>
    <w:p w14:paraId="536E5037" w14:textId="77777777" w:rsidR="0055205C" w:rsidRPr="00510AD0" w:rsidRDefault="0055205C" w:rsidP="0037142C">
      <w:pPr>
        <w:pStyle w:val="BodyText"/>
      </w:pPr>
      <w:r w:rsidRPr="00510AD0">
        <w:t>(h)</w:t>
      </w:r>
      <w:r w:rsidRPr="00510AD0">
        <w:tab/>
      </w:r>
      <w:r w:rsidRPr="00510AD0">
        <w:rPr>
          <w:b/>
          <w:u w:val="single"/>
        </w:rPr>
        <w:t>Governing Law</w:t>
      </w:r>
      <w:r w:rsidRPr="00510AD0">
        <w:t>.  This Guaranty shall be governed by and construed in accordance with the laws of the State of New York, without reference to choice of law doctrine.</w:t>
      </w:r>
    </w:p>
    <w:p w14:paraId="4A0833CF" w14:textId="77777777" w:rsidR="0055205C" w:rsidRPr="00510AD0" w:rsidRDefault="0055205C" w:rsidP="0037142C">
      <w:pPr>
        <w:pStyle w:val="BodyText"/>
      </w:pPr>
      <w:r w:rsidRPr="00510AD0">
        <w:t>(i)</w:t>
      </w:r>
      <w:r w:rsidRPr="00510AD0">
        <w:tab/>
      </w:r>
      <w:r w:rsidRPr="00510AD0">
        <w:rPr>
          <w:b/>
          <w:u w:val="single"/>
        </w:rPr>
        <w:t>Arbitration</w:t>
      </w:r>
      <w:r w:rsidRPr="00510AD0">
        <w:rPr>
          <w:b/>
        </w:rPr>
        <w:t xml:space="preserve">.  </w:t>
      </w:r>
      <w:r w:rsidRPr="00510AD0">
        <w:t xml:space="preserve">Any controversy or claim arising out of or relating to this Guaranty Agreement, or any alleged breach thereof, shall be determined by arbitration administered by the American Arbitration Association in accordance with its International Arbitration Rules.  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w:t>
      </w:r>
      <w:bookmarkStart w:id="932" w:name="DocXTextRef402"/>
      <w:r w:rsidRPr="00510AD0">
        <w:t>30</w:t>
      </w:r>
      <w:bookmarkEnd w:id="932"/>
      <w:r w:rsidRPr="00510AD0">
        <w:t xml:space="preserve">-day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w:t>
      </w:r>
      <w:bookmarkStart w:id="933" w:name="DocXTextRef403"/>
      <w:r w:rsidRPr="00510AD0">
        <w:t>30</w:t>
      </w:r>
      <w:bookmarkEnd w:id="933"/>
      <w:r w:rsidRPr="00510AD0">
        <w:t xml:space="preserve">-day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w:t>
      </w:r>
      <w:r w:rsidRPr="00510AD0">
        <w:lastRenderedPageBreak/>
        <w:t>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37B86045" w14:textId="77777777" w:rsidR="0055205C" w:rsidRPr="00510AD0" w:rsidRDefault="0055205C" w:rsidP="0037142C">
      <w:pPr>
        <w:pStyle w:val="BodyText"/>
      </w:pPr>
      <w:r w:rsidRPr="00510AD0">
        <w:t>(j)</w:t>
      </w:r>
      <w:r w:rsidRPr="00510AD0">
        <w:tab/>
      </w:r>
      <w:r w:rsidRPr="00510AD0">
        <w:rPr>
          <w:b/>
          <w:u w:val="single"/>
        </w:rPr>
        <w:t>Severability</w:t>
      </w:r>
      <w:r w:rsidRPr="00510AD0">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7520943" w14:textId="77777777" w:rsidR="0055205C" w:rsidRPr="00510AD0" w:rsidRDefault="0055205C" w:rsidP="0037142C">
      <w:pPr>
        <w:pStyle w:val="BodyText"/>
      </w:pPr>
      <w:r w:rsidRPr="00510AD0">
        <w:t>(k)</w:t>
      </w:r>
      <w:r w:rsidRPr="00510AD0">
        <w:tab/>
      </w:r>
      <w:r w:rsidRPr="00510AD0">
        <w:rPr>
          <w:b/>
          <w:u w:val="single"/>
        </w:rPr>
        <w:t>Representations and Warranties</w:t>
      </w:r>
      <w:r w:rsidRPr="00510AD0">
        <w:t xml:space="preserve">.  The Guarantor, through its undersigned officer, represents and warrants to PG&amp;E that </w:t>
      </w:r>
      <w:bookmarkStart w:id="934" w:name="DocXTextRef404"/>
      <w:r w:rsidRPr="00510AD0">
        <w:t>(i)</w:t>
      </w:r>
      <w:bookmarkEnd w:id="934"/>
      <w:r w:rsidRPr="00510AD0">
        <w:t xml:space="preserve">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w:t>
      </w:r>
      <w:bookmarkStart w:id="935" w:name="DocXTextRef405"/>
      <w:r w:rsidRPr="00510AD0">
        <w:t>(v)</w:t>
      </w:r>
      <w:bookmarkEnd w:id="935"/>
      <w:r w:rsidRPr="00510AD0">
        <w:t xml:space="preserve"> this Guaranty constitutes the legal, valid and binding obligation of the Guarantor enforceable in accordance with its terms.</w:t>
      </w:r>
    </w:p>
    <w:p w14:paraId="613A3325" w14:textId="77777777" w:rsidR="0055205C" w:rsidRPr="00510AD0" w:rsidRDefault="0055205C" w:rsidP="0037142C">
      <w:pPr>
        <w:pStyle w:val="BodyText"/>
      </w:pPr>
      <w:r w:rsidRPr="00510AD0">
        <w:rPr>
          <w:lang w:val="pt-PT"/>
        </w:rPr>
        <w:t>(l)</w:t>
      </w:r>
      <w:r w:rsidRPr="00510AD0">
        <w:rPr>
          <w:lang w:val="pt-PT"/>
        </w:rPr>
        <w:tab/>
      </w:r>
      <w:r w:rsidRPr="00510AD0">
        <w:rPr>
          <w:b/>
          <w:u w:val="single"/>
          <w:lang w:val="pt-PT"/>
        </w:rPr>
        <w:t>No Amendment; No PG&amp;E Waiver</w:t>
      </w:r>
      <w:r w:rsidRPr="00510AD0">
        <w:rPr>
          <w:lang w:val="pt-PT"/>
        </w:rPr>
        <w:t xml:space="preserve">.  </w:t>
      </w:r>
      <w:r w:rsidRPr="00510AD0">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10C8EA30" w14:textId="77777777" w:rsidR="0055205C" w:rsidRPr="00510AD0" w:rsidRDefault="0055205C" w:rsidP="0037142C">
      <w:pPr>
        <w:pStyle w:val="BodyText"/>
      </w:pPr>
      <w:r w:rsidRPr="00510AD0">
        <w:t>(m)</w:t>
      </w:r>
      <w:r w:rsidRPr="00510AD0">
        <w:tab/>
      </w:r>
      <w:r w:rsidRPr="00510AD0">
        <w:rPr>
          <w:b/>
          <w:u w:val="single"/>
        </w:rPr>
        <w:t>Notices</w:t>
      </w:r>
      <w:r w:rsidRPr="00510AD0">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06CCDB74" w14:textId="77777777" w:rsidR="0055205C" w:rsidRPr="00510AD0" w:rsidRDefault="0055205C" w:rsidP="0037142C">
      <w:pPr>
        <w:pStyle w:val="BodyTextLeft"/>
      </w:pPr>
      <w:r w:rsidRPr="00510AD0">
        <w:t xml:space="preserve">If to Guarantor: </w:t>
      </w:r>
    </w:p>
    <w:p w14:paraId="7C0BA477" w14:textId="77777777" w:rsidR="0055205C" w:rsidRPr="00510AD0" w:rsidRDefault="0055205C" w:rsidP="0037142C">
      <w:pPr>
        <w:pStyle w:val="BodyText"/>
      </w:pPr>
      <w:r w:rsidRPr="00510AD0">
        <w:t>______________________________________</w:t>
      </w:r>
    </w:p>
    <w:p w14:paraId="65B15354" w14:textId="77777777" w:rsidR="0055205C" w:rsidRPr="00510AD0" w:rsidRDefault="0055205C" w:rsidP="0037142C">
      <w:pPr>
        <w:pStyle w:val="BodyText"/>
      </w:pPr>
      <w:r w:rsidRPr="00510AD0">
        <w:t>______________________________________</w:t>
      </w:r>
    </w:p>
    <w:p w14:paraId="5ED69F25" w14:textId="77777777" w:rsidR="0055205C" w:rsidRPr="00510AD0" w:rsidRDefault="0055205C" w:rsidP="0037142C">
      <w:pPr>
        <w:pStyle w:val="BodyTextLeft"/>
      </w:pPr>
    </w:p>
    <w:p w14:paraId="6AA44247" w14:textId="77777777" w:rsidR="0055205C" w:rsidRPr="00510AD0" w:rsidRDefault="0055205C" w:rsidP="0037142C">
      <w:pPr>
        <w:pStyle w:val="BodyTextLeft"/>
      </w:pPr>
      <w:r w:rsidRPr="00510AD0">
        <w:t>If to PG&amp;E: Pacific Gas and Electric Company</w:t>
      </w:r>
    </w:p>
    <w:p w14:paraId="3A8F96F4" w14:textId="77777777" w:rsidR="0055205C" w:rsidRPr="00510AD0" w:rsidRDefault="0055205C" w:rsidP="0037142C">
      <w:pPr>
        <w:pStyle w:val="BodyText"/>
      </w:pPr>
      <w:r w:rsidRPr="00510AD0">
        <w:t>______________________________________</w:t>
      </w:r>
    </w:p>
    <w:p w14:paraId="319EDD77" w14:textId="77777777" w:rsidR="0055205C" w:rsidRPr="00510AD0" w:rsidRDefault="0055205C" w:rsidP="0037142C">
      <w:pPr>
        <w:pStyle w:val="BodyText"/>
      </w:pPr>
      <w:r w:rsidRPr="00510AD0">
        <w:t>______________________________________</w:t>
      </w:r>
    </w:p>
    <w:p w14:paraId="36A2FB5E" w14:textId="77777777" w:rsidR="0055205C" w:rsidRPr="00510AD0" w:rsidRDefault="0055205C" w:rsidP="0037142C">
      <w:pPr>
        <w:pStyle w:val="BodyTextLeft"/>
      </w:pPr>
      <w:r w:rsidRPr="00510AD0">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25921686" w14:textId="77777777" w:rsidR="0055205C" w:rsidRPr="00510AD0" w:rsidRDefault="0055205C" w:rsidP="0037142C">
      <w:pPr>
        <w:pStyle w:val="BodyTextLeft"/>
      </w:pPr>
      <w:r w:rsidRPr="00510AD0">
        <w:t xml:space="preserve">IN WITNESS WHEREOF, the Guarantor has caused this Guaranty to be executed in its name by its duly authorized officer as of the date set forth below. </w:t>
      </w:r>
    </w:p>
    <w:p w14:paraId="7076D031" w14:textId="77777777" w:rsidR="0055205C" w:rsidRPr="00510AD0" w:rsidRDefault="0055205C" w:rsidP="0037142C">
      <w:pPr>
        <w:pStyle w:val="BodyTextLeft"/>
      </w:pPr>
    </w:p>
    <w:p w14:paraId="191DECE0" w14:textId="77777777" w:rsidR="0055205C" w:rsidRPr="00510AD0" w:rsidRDefault="0055205C" w:rsidP="0037142C">
      <w:pPr>
        <w:pStyle w:val="BodyTextLeft"/>
        <w:rPr>
          <w:u w:val="single"/>
        </w:rPr>
      </w:pPr>
      <w:r w:rsidRPr="00510AD0">
        <w:rPr>
          <w:u w:val="single"/>
        </w:rPr>
        <w:t xml:space="preserve">     [Name of Guarantor]</w:t>
      </w:r>
      <w:r w:rsidRPr="00510AD0">
        <w:rPr>
          <w:u w:val="single"/>
        </w:rPr>
        <w:tab/>
      </w:r>
      <w:r w:rsidRPr="00510AD0">
        <w:rPr>
          <w:u w:val="single"/>
        </w:rPr>
        <w:tab/>
      </w:r>
      <w:r w:rsidRPr="00510AD0">
        <w:rPr>
          <w:u w:val="single"/>
        </w:rPr>
        <w:tab/>
      </w:r>
    </w:p>
    <w:p w14:paraId="2C1517A1" w14:textId="77777777" w:rsidR="0055205C" w:rsidRPr="00510AD0" w:rsidRDefault="0055205C" w:rsidP="0037142C">
      <w:pPr>
        <w:pStyle w:val="BodyTextLeft"/>
      </w:pPr>
      <w:r w:rsidRPr="00510AD0">
        <w:t xml:space="preserve">By: </w:t>
      </w:r>
      <w:r w:rsidRPr="00510AD0">
        <w:rPr>
          <w:u w:val="single"/>
        </w:rPr>
        <w:tab/>
      </w:r>
      <w:r w:rsidRPr="00510AD0">
        <w:rPr>
          <w:u w:val="single"/>
        </w:rPr>
        <w:tab/>
      </w:r>
      <w:r w:rsidRPr="00510AD0">
        <w:rPr>
          <w:u w:val="single"/>
        </w:rPr>
        <w:tab/>
      </w:r>
      <w:r w:rsidRPr="00510AD0">
        <w:rPr>
          <w:u w:val="single"/>
        </w:rPr>
        <w:tab/>
      </w:r>
      <w:r w:rsidRPr="00510AD0">
        <w:rPr>
          <w:u w:val="single"/>
        </w:rPr>
        <w:tab/>
      </w:r>
      <w:r w:rsidRPr="00510AD0">
        <w:rPr>
          <w:u w:val="single"/>
        </w:rPr>
        <w:tab/>
      </w:r>
    </w:p>
    <w:p w14:paraId="4038558D" w14:textId="77777777" w:rsidR="0055205C" w:rsidRPr="00510AD0" w:rsidRDefault="0055205C" w:rsidP="0037142C">
      <w:pPr>
        <w:pStyle w:val="BodyTextLeft"/>
      </w:pPr>
      <w:r w:rsidRPr="00510AD0">
        <w:t xml:space="preserve">Name: </w:t>
      </w:r>
      <w:r w:rsidRPr="00510AD0">
        <w:rPr>
          <w:u w:val="single"/>
        </w:rPr>
        <w:tab/>
      </w:r>
      <w:r w:rsidRPr="00510AD0">
        <w:rPr>
          <w:u w:val="single"/>
        </w:rPr>
        <w:tab/>
      </w:r>
      <w:r w:rsidRPr="00510AD0">
        <w:rPr>
          <w:u w:val="single"/>
        </w:rPr>
        <w:tab/>
      </w:r>
      <w:r w:rsidRPr="00510AD0">
        <w:rPr>
          <w:u w:val="single"/>
        </w:rPr>
        <w:tab/>
      </w:r>
      <w:r w:rsidRPr="00510AD0">
        <w:rPr>
          <w:u w:val="single"/>
        </w:rPr>
        <w:tab/>
      </w:r>
    </w:p>
    <w:p w14:paraId="4C36E8CD" w14:textId="77777777" w:rsidR="0055205C" w:rsidRPr="00510AD0" w:rsidRDefault="0055205C" w:rsidP="0037142C">
      <w:pPr>
        <w:pStyle w:val="BodyTextLeft"/>
      </w:pPr>
      <w:r w:rsidRPr="00510AD0">
        <w:t xml:space="preserve">Title: </w:t>
      </w:r>
      <w:r w:rsidRPr="00510AD0">
        <w:rPr>
          <w:u w:val="single"/>
        </w:rPr>
        <w:tab/>
      </w:r>
      <w:r w:rsidRPr="00510AD0">
        <w:rPr>
          <w:u w:val="single"/>
        </w:rPr>
        <w:tab/>
      </w:r>
      <w:r w:rsidRPr="00510AD0">
        <w:rPr>
          <w:u w:val="single"/>
        </w:rPr>
        <w:tab/>
      </w:r>
      <w:r w:rsidRPr="00510AD0">
        <w:rPr>
          <w:u w:val="single"/>
        </w:rPr>
        <w:tab/>
      </w:r>
      <w:r w:rsidRPr="00510AD0">
        <w:rPr>
          <w:u w:val="single"/>
        </w:rPr>
        <w:tab/>
      </w:r>
      <w:r w:rsidRPr="00510AD0">
        <w:rPr>
          <w:u w:val="single"/>
        </w:rPr>
        <w:tab/>
      </w:r>
    </w:p>
    <w:p w14:paraId="718DCD7F" w14:textId="77777777" w:rsidR="0055205C" w:rsidRPr="00510AD0" w:rsidRDefault="0055205C" w:rsidP="0037142C">
      <w:pPr>
        <w:pStyle w:val="BodyTextLeft"/>
      </w:pPr>
      <w:r w:rsidRPr="00510AD0">
        <w:t xml:space="preserve">Date: </w:t>
      </w:r>
      <w:r w:rsidRPr="00510AD0">
        <w:rPr>
          <w:u w:val="single"/>
        </w:rPr>
        <w:tab/>
      </w:r>
      <w:r w:rsidRPr="00510AD0">
        <w:rPr>
          <w:u w:val="single"/>
        </w:rPr>
        <w:tab/>
      </w:r>
      <w:r w:rsidRPr="00510AD0">
        <w:rPr>
          <w:u w:val="single"/>
        </w:rPr>
        <w:tab/>
      </w:r>
      <w:r w:rsidRPr="00510AD0">
        <w:rPr>
          <w:u w:val="single"/>
        </w:rPr>
        <w:tab/>
      </w:r>
      <w:r w:rsidRPr="00510AD0">
        <w:rPr>
          <w:u w:val="single"/>
        </w:rPr>
        <w:tab/>
      </w:r>
      <w:r w:rsidRPr="00510AD0">
        <w:rPr>
          <w:u w:val="single"/>
        </w:rPr>
        <w:tab/>
      </w:r>
    </w:p>
    <w:p w14:paraId="681176D9" w14:textId="77777777" w:rsidR="0055205C" w:rsidRPr="00510AD0" w:rsidRDefault="0055205C" w:rsidP="00E907E0">
      <w:pPr>
        <w:spacing w:after="240"/>
      </w:pPr>
    </w:p>
    <w:p w14:paraId="01094A76" w14:textId="77777777" w:rsidR="0055205C" w:rsidRPr="00510AD0" w:rsidRDefault="0055205C" w:rsidP="00E907E0">
      <w:pPr>
        <w:spacing w:after="240"/>
        <w:jc w:val="center"/>
        <w:rPr>
          <w:b/>
        </w:rPr>
        <w:sectPr w:rsidR="0055205C" w:rsidRPr="00510AD0" w:rsidSect="0070095F">
          <w:headerReference w:type="default" r:id="rId45"/>
          <w:footerReference w:type="default" r:id="rId46"/>
          <w:footnotePr>
            <w:numRestart w:val="eachSect"/>
          </w:footnotePr>
          <w:pgSz w:w="12240" w:h="15840" w:code="1"/>
          <w:pgMar w:top="1440" w:right="1440" w:bottom="1440" w:left="1440" w:header="432" w:footer="432" w:gutter="0"/>
          <w:pgNumType w:start="1"/>
          <w:cols w:space="720"/>
          <w:docGrid w:linePitch="360"/>
        </w:sectPr>
      </w:pPr>
    </w:p>
    <w:p w14:paraId="3FEBDE32" w14:textId="32137C84" w:rsidR="0055205C" w:rsidRPr="00510AD0" w:rsidRDefault="0055205C" w:rsidP="0095548C">
      <w:pPr>
        <w:pStyle w:val="Appendix"/>
      </w:pPr>
      <w:r w:rsidRPr="00510AD0">
        <w:lastRenderedPageBreak/>
        <w:t>APPENDIX VIII</w:t>
      </w:r>
      <w:r w:rsidRPr="00510AD0">
        <w:br/>
      </w:r>
      <w:r w:rsidRPr="00510AD0">
        <w:br/>
      </w:r>
      <w:r w:rsidR="00C51CEC" w:rsidRPr="00510AD0">
        <w:t>[RESERVED]</w:t>
      </w:r>
      <w:r w:rsidR="00C51CEC" w:rsidRPr="00510AD0" w:rsidDel="00C51CEC">
        <w:t xml:space="preserve"> </w:t>
      </w:r>
    </w:p>
    <w:p w14:paraId="56B7FB61" w14:textId="77777777" w:rsidR="0055205C" w:rsidRPr="00510AD0" w:rsidRDefault="0055205C" w:rsidP="00E907E0">
      <w:pPr>
        <w:spacing w:after="240"/>
        <w:sectPr w:rsidR="0055205C" w:rsidRPr="00510AD0" w:rsidSect="0070095F">
          <w:headerReference w:type="default" r:id="rId47"/>
          <w:footerReference w:type="default" r:id="rId48"/>
          <w:footnotePr>
            <w:numRestart w:val="eachSect"/>
          </w:footnotePr>
          <w:pgSz w:w="12240" w:h="15840" w:code="1"/>
          <w:pgMar w:top="1440" w:right="1440" w:bottom="1440" w:left="1440" w:header="432" w:footer="432" w:gutter="0"/>
          <w:pgNumType w:start="1"/>
          <w:cols w:space="720"/>
          <w:docGrid w:linePitch="360"/>
        </w:sectPr>
      </w:pPr>
    </w:p>
    <w:p w14:paraId="312D79FD" w14:textId="732B05D2" w:rsidR="0055205C" w:rsidRPr="00510AD0" w:rsidRDefault="0055205C" w:rsidP="00E245DD">
      <w:pPr>
        <w:pStyle w:val="Appendix"/>
      </w:pPr>
      <w:r w:rsidRPr="00510AD0">
        <w:lastRenderedPageBreak/>
        <w:t>APPENDIX IX</w:t>
      </w:r>
      <w:r w:rsidRPr="00510AD0">
        <w:br/>
      </w:r>
      <w:r w:rsidRPr="00510AD0">
        <w:br/>
      </w:r>
      <w:r w:rsidR="00E245DD" w:rsidRPr="00510AD0">
        <w:t>[RESERVED]</w:t>
      </w:r>
      <w:r w:rsidR="00E245DD" w:rsidRPr="00510AD0" w:rsidDel="00E245DD">
        <w:t xml:space="preserve"> </w:t>
      </w:r>
    </w:p>
    <w:p w14:paraId="38ADA6FE" w14:textId="77777777" w:rsidR="0055205C" w:rsidRPr="00510AD0" w:rsidRDefault="0055205C" w:rsidP="00E907E0">
      <w:pPr>
        <w:spacing w:after="240"/>
        <w:sectPr w:rsidR="0055205C" w:rsidRPr="00510AD0" w:rsidSect="0070095F">
          <w:headerReference w:type="default" r:id="rId49"/>
          <w:footerReference w:type="default" r:id="rId50"/>
          <w:pgSz w:w="12240" w:h="15840"/>
          <w:pgMar w:top="1440" w:right="1440" w:bottom="1440" w:left="1440" w:header="432" w:footer="432" w:gutter="0"/>
          <w:pgNumType w:start="1"/>
          <w:cols w:space="720"/>
          <w:docGrid w:linePitch="360"/>
        </w:sectPr>
      </w:pPr>
    </w:p>
    <w:p w14:paraId="78EC2E12" w14:textId="77777777" w:rsidR="0055205C" w:rsidRPr="00510AD0" w:rsidRDefault="0055205C" w:rsidP="00027CC8">
      <w:pPr>
        <w:pStyle w:val="Appendix"/>
      </w:pPr>
      <w:r w:rsidRPr="00510AD0">
        <w:lastRenderedPageBreak/>
        <w:t>APPENDIX X</w:t>
      </w:r>
      <w:r w:rsidRPr="00510AD0">
        <w:br/>
      </w:r>
      <w:r w:rsidRPr="00510AD0">
        <w:br/>
        <w:t>NOTICES</w:t>
      </w:r>
    </w:p>
    <w:tbl>
      <w:tblPr>
        <w:tblW w:w="9828" w:type="dxa"/>
        <w:tblLook w:val="0000" w:firstRow="0" w:lastRow="0" w:firstColumn="0" w:lastColumn="0" w:noHBand="0" w:noVBand="0"/>
      </w:tblPr>
      <w:tblGrid>
        <w:gridCol w:w="4788"/>
        <w:gridCol w:w="5040"/>
      </w:tblGrid>
      <w:tr w:rsidR="0055205C" w:rsidRPr="00510AD0" w14:paraId="20960100" w14:textId="77777777" w:rsidTr="004C4736">
        <w:tc>
          <w:tcPr>
            <w:tcW w:w="4788" w:type="dxa"/>
          </w:tcPr>
          <w:p w14:paraId="17B0538A" w14:textId="77777777" w:rsidR="0055205C" w:rsidRPr="00510AD0" w:rsidRDefault="0055205C" w:rsidP="00DD660F">
            <w:pPr>
              <w:tabs>
                <w:tab w:val="right" w:pos="4320"/>
              </w:tabs>
              <w:rPr>
                <w:b/>
              </w:rPr>
            </w:pPr>
            <w:r w:rsidRPr="00510AD0">
              <w:rPr>
                <w:b/>
              </w:rPr>
              <w:t xml:space="preserve">Name:  </w:t>
            </w:r>
            <w:r w:rsidRPr="00510AD0">
              <w:t>_____________________ (“Seller”)</w:t>
            </w:r>
          </w:p>
        </w:tc>
        <w:tc>
          <w:tcPr>
            <w:tcW w:w="5040" w:type="dxa"/>
          </w:tcPr>
          <w:p w14:paraId="6281974B" w14:textId="77777777" w:rsidR="0055205C" w:rsidRPr="00510AD0" w:rsidRDefault="0055205C" w:rsidP="00DD660F">
            <w:pPr>
              <w:tabs>
                <w:tab w:val="right" w:pos="4320"/>
              </w:tabs>
            </w:pPr>
            <w:r w:rsidRPr="00510AD0">
              <w:rPr>
                <w:b/>
              </w:rPr>
              <w:t>Name:</w:t>
            </w:r>
            <w:r w:rsidRPr="00510AD0">
              <w:t xml:space="preserve">  Pacific Gas and Electric Company, a California corporation  (“Buyer” or “PG&amp;E”)</w:t>
            </w:r>
          </w:p>
        </w:tc>
      </w:tr>
      <w:tr w:rsidR="0055205C" w:rsidRPr="00510AD0" w14:paraId="3EB07E61" w14:textId="77777777" w:rsidTr="004C4736">
        <w:tc>
          <w:tcPr>
            <w:tcW w:w="4788" w:type="dxa"/>
          </w:tcPr>
          <w:p w14:paraId="35B10DEE" w14:textId="77777777" w:rsidR="0055205C" w:rsidRPr="00510AD0" w:rsidRDefault="0055205C" w:rsidP="00DD660F">
            <w:pPr>
              <w:tabs>
                <w:tab w:val="right" w:pos="4320"/>
              </w:tabs>
            </w:pPr>
            <w:r w:rsidRPr="00510AD0">
              <w:t xml:space="preserve">All Notices: </w:t>
            </w:r>
          </w:p>
        </w:tc>
        <w:tc>
          <w:tcPr>
            <w:tcW w:w="5040" w:type="dxa"/>
          </w:tcPr>
          <w:p w14:paraId="64702E63" w14:textId="77777777" w:rsidR="0055205C" w:rsidRPr="00510AD0" w:rsidRDefault="0055205C" w:rsidP="00DD660F">
            <w:pPr>
              <w:tabs>
                <w:tab w:val="right" w:pos="4320"/>
              </w:tabs>
              <w:ind w:left="1782" w:hanging="1782"/>
            </w:pPr>
            <w:r w:rsidRPr="00510AD0">
              <w:t>All Notices:</w:t>
            </w:r>
          </w:p>
        </w:tc>
      </w:tr>
      <w:tr w:rsidR="0055205C" w:rsidRPr="00510AD0" w14:paraId="29B8EB22" w14:textId="77777777" w:rsidTr="004C4736">
        <w:tc>
          <w:tcPr>
            <w:tcW w:w="4788" w:type="dxa"/>
          </w:tcPr>
          <w:p w14:paraId="13ED3718" w14:textId="77777777" w:rsidR="0055205C" w:rsidRPr="00510AD0" w:rsidRDefault="0055205C" w:rsidP="00DD660F">
            <w:pPr>
              <w:tabs>
                <w:tab w:val="right" w:pos="4320"/>
              </w:tabs>
              <w:rPr>
                <w:b/>
              </w:rPr>
            </w:pPr>
            <w:r w:rsidRPr="00510AD0">
              <w:rPr>
                <w:b/>
              </w:rPr>
              <w:t>Delivery Address:</w:t>
            </w:r>
          </w:p>
        </w:tc>
        <w:tc>
          <w:tcPr>
            <w:tcW w:w="5040" w:type="dxa"/>
          </w:tcPr>
          <w:p w14:paraId="0E673DC2" w14:textId="77777777" w:rsidR="0055205C" w:rsidRPr="00510AD0" w:rsidRDefault="0055205C" w:rsidP="00DD660F">
            <w:pPr>
              <w:tabs>
                <w:tab w:val="right" w:pos="4320"/>
              </w:tabs>
              <w:rPr>
                <w:b/>
              </w:rPr>
            </w:pPr>
            <w:r w:rsidRPr="00510AD0">
              <w:rPr>
                <w:b/>
              </w:rPr>
              <w:t>Delivery Address:</w:t>
            </w:r>
          </w:p>
        </w:tc>
      </w:tr>
      <w:tr w:rsidR="0055205C" w:rsidRPr="00510AD0" w14:paraId="5C608C06" w14:textId="77777777" w:rsidTr="004C4736">
        <w:tc>
          <w:tcPr>
            <w:tcW w:w="4788" w:type="dxa"/>
          </w:tcPr>
          <w:p w14:paraId="36213EE9" w14:textId="77777777" w:rsidR="0055205C" w:rsidRPr="00510AD0" w:rsidRDefault="0055205C" w:rsidP="00DD660F">
            <w:pPr>
              <w:tabs>
                <w:tab w:val="right" w:pos="4320"/>
              </w:tabs>
            </w:pPr>
            <w:r w:rsidRPr="00510AD0">
              <w:t xml:space="preserve">Street: </w:t>
            </w:r>
          </w:p>
        </w:tc>
        <w:tc>
          <w:tcPr>
            <w:tcW w:w="5040" w:type="dxa"/>
          </w:tcPr>
          <w:p w14:paraId="34773607" w14:textId="77777777" w:rsidR="0055205C" w:rsidRPr="00510AD0" w:rsidRDefault="0055205C" w:rsidP="00DD660F">
            <w:pPr>
              <w:tabs>
                <w:tab w:val="right" w:pos="4320"/>
              </w:tabs>
            </w:pPr>
            <w:r w:rsidRPr="00510AD0">
              <w:t>77 Beale Street, Mail Code N12E</w:t>
            </w:r>
          </w:p>
        </w:tc>
      </w:tr>
      <w:tr w:rsidR="0055205C" w:rsidRPr="00510AD0" w14:paraId="10AA5646" w14:textId="77777777" w:rsidTr="004C4736">
        <w:tc>
          <w:tcPr>
            <w:tcW w:w="4788" w:type="dxa"/>
          </w:tcPr>
          <w:p w14:paraId="7EE8A814" w14:textId="77777777" w:rsidR="0055205C" w:rsidRPr="00510AD0" w:rsidRDefault="0055205C" w:rsidP="00DD660F">
            <w:r w:rsidRPr="00510AD0">
              <w:t xml:space="preserve">City: </w:t>
            </w:r>
          </w:p>
        </w:tc>
        <w:tc>
          <w:tcPr>
            <w:tcW w:w="5040" w:type="dxa"/>
          </w:tcPr>
          <w:p w14:paraId="3E8508AB" w14:textId="77777777" w:rsidR="0055205C" w:rsidRPr="00510AD0" w:rsidRDefault="0055205C" w:rsidP="00DD660F">
            <w:r w:rsidRPr="00510AD0">
              <w:t>San Francisco, CA 94105-1702</w:t>
            </w:r>
          </w:p>
        </w:tc>
      </w:tr>
      <w:tr w:rsidR="0055205C" w:rsidRPr="00510AD0" w14:paraId="094A75DA" w14:textId="77777777" w:rsidTr="004C4736">
        <w:tc>
          <w:tcPr>
            <w:tcW w:w="4788" w:type="dxa"/>
          </w:tcPr>
          <w:p w14:paraId="71BC8036" w14:textId="77777777" w:rsidR="0055205C" w:rsidRPr="00510AD0" w:rsidRDefault="0055205C" w:rsidP="00DD660F">
            <w:pPr>
              <w:tabs>
                <w:tab w:val="right" w:pos="4320"/>
              </w:tabs>
            </w:pPr>
          </w:p>
        </w:tc>
        <w:tc>
          <w:tcPr>
            <w:tcW w:w="5040" w:type="dxa"/>
          </w:tcPr>
          <w:p w14:paraId="678F8E14" w14:textId="77777777" w:rsidR="0055205C" w:rsidRPr="00510AD0" w:rsidRDefault="0055205C" w:rsidP="00DD660F">
            <w:pPr>
              <w:tabs>
                <w:tab w:val="right" w:pos="4320"/>
              </w:tabs>
            </w:pPr>
          </w:p>
        </w:tc>
      </w:tr>
      <w:tr w:rsidR="0055205C" w:rsidRPr="00510AD0" w14:paraId="2B83B161" w14:textId="77777777" w:rsidTr="004C4736">
        <w:tc>
          <w:tcPr>
            <w:tcW w:w="4788" w:type="dxa"/>
          </w:tcPr>
          <w:p w14:paraId="0897E4D8" w14:textId="77777777" w:rsidR="0055205C" w:rsidRPr="00510AD0" w:rsidRDefault="0055205C" w:rsidP="00DD660F">
            <w:pPr>
              <w:tabs>
                <w:tab w:val="right" w:pos="4320"/>
              </w:tabs>
            </w:pPr>
            <w:r w:rsidRPr="00510AD0">
              <w:rPr>
                <w:b/>
              </w:rPr>
              <w:t>Mail Address</w:t>
            </w:r>
            <w:r w:rsidRPr="00510AD0">
              <w:t xml:space="preserve">:  </w:t>
            </w:r>
          </w:p>
        </w:tc>
        <w:tc>
          <w:tcPr>
            <w:tcW w:w="5040" w:type="dxa"/>
          </w:tcPr>
          <w:p w14:paraId="4632F23C" w14:textId="77777777" w:rsidR="0055205C" w:rsidRPr="00510AD0" w:rsidRDefault="0055205C" w:rsidP="00DD660F">
            <w:pPr>
              <w:tabs>
                <w:tab w:val="right" w:pos="4320"/>
              </w:tabs>
            </w:pPr>
            <w:r w:rsidRPr="00510AD0">
              <w:rPr>
                <w:b/>
              </w:rPr>
              <w:t>Mail Address</w:t>
            </w:r>
            <w:r w:rsidRPr="00510AD0">
              <w:t>:</w:t>
            </w:r>
          </w:p>
        </w:tc>
      </w:tr>
      <w:tr w:rsidR="0055205C" w:rsidRPr="00510AD0" w14:paraId="10B05FC9" w14:textId="77777777" w:rsidTr="004C4736">
        <w:tc>
          <w:tcPr>
            <w:tcW w:w="4788" w:type="dxa"/>
          </w:tcPr>
          <w:p w14:paraId="763897F3" w14:textId="77777777" w:rsidR="0055205C" w:rsidRPr="00510AD0" w:rsidRDefault="0055205C" w:rsidP="00DD660F">
            <w:pPr>
              <w:tabs>
                <w:tab w:val="right" w:pos="4320"/>
              </w:tabs>
            </w:pPr>
          </w:p>
        </w:tc>
        <w:tc>
          <w:tcPr>
            <w:tcW w:w="5040" w:type="dxa"/>
          </w:tcPr>
          <w:p w14:paraId="742A2A94" w14:textId="77777777" w:rsidR="0055205C" w:rsidRPr="00510AD0" w:rsidRDefault="0055205C" w:rsidP="00DD660F">
            <w:pPr>
              <w:tabs>
                <w:tab w:val="right" w:pos="4320"/>
              </w:tabs>
              <w:rPr>
                <w:lang w:val="pt-PT"/>
              </w:rPr>
            </w:pPr>
            <w:r w:rsidRPr="00510AD0">
              <w:rPr>
                <w:lang w:val="pt-PT"/>
              </w:rPr>
              <w:t>P.O. Box 770000, Mail Code N12E</w:t>
            </w:r>
          </w:p>
        </w:tc>
      </w:tr>
      <w:tr w:rsidR="0055205C" w:rsidRPr="00510AD0" w14:paraId="1063E98A" w14:textId="77777777" w:rsidTr="004C4736">
        <w:tc>
          <w:tcPr>
            <w:tcW w:w="4788" w:type="dxa"/>
          </w:tcPr>
          <w:p w14:paraId="59576AC6" w14:textId="77777777" w:rsidR="0055205C" w:rsidRPr="00510AD0" w:rsidRDefault="0055205C" w:rsidP="00DD660F">
            <w:pPr>
              <w:tabs>
                <w:tab w:val="right" w:pos="4320"/>
              </w:tabs>
              <w:rPr>
                <w:lang w:val="pt-PT"/>
              </w:rPr>
            </w:pPr>
          </w:p>
        </w:tc>
        <w:tc>
          <w:tcPr>
            <w:tcW w:w="5040" w:type="dxa"/>
          </w:tcPr>
          <w:p w14:paraId="09A81615" w14:textId="77777777" w:rsidR="0055205C" w:rsidRPr="00510AD0" w:rsidRDefault="0055205C" w:rsidP="00DD660F">
            <w:pPr>
              <w:tabs>
                <w:tab w:val="right" w:pos="4320"/>
              </w:tabs>
            </w:pPr>
            <w:r w:rsidRPr="00510AD0">
              <w:t>San Francisco, CA 94177</w:t>
            </w:r>
          </w:p>
        </w:tc>
      </w:tr>
      <w:tr w:rsidR="0055205C" w:rsidRPr="00510AD0" w14:paraId="7D6037FB" w14:textId="77777777" w:rsidTr="004C4736">
        <w:trPr>
          <w:trHeight w:val="80"/>
        </w:trPr>
        <w:tc>
          <w:tcPr>
            <w:tcW w:w="4788" w:type="dxa"/>
          </w:tcPr>
          <w:p w14:paraId="640318AA" w14:textId="77777777" w:rsidR="0055205C" w:rsidRPr="00510AD0" w:rsidRDefault="0055205C" w:rsidP="00DD660F">
            <w:pPr>
              <w:tabs>
                <w:tab w:val="right" w:pos="4320"/>
              </w:tabs>
            </w:pPr>
            <w:r w:rsidRPr="00510AD0">
              <w:t xml:space="preserve">Attn:  </w:t>
            </w:r>
          </w:p>
          <w:p w14:paraId="65D6212D" w14:textId="77777777" w:rsidR="0055205C" w:rsidRPr="00510AD0" w:rsidRDefault="0055205C" w:rsidP="00DD660F">
            <w:pPr>
              <w:tabs>
                <w:tab w:val="right" w:pos="4320"/>
              </w:tabs>
            </w:pPr>
          </w:p>
        </w:tc>
        <w:tc>
          <w:tcPr>
            <w:tcW w:w="5040" w:type="dxa"/>
          </w:tcPr>
          <w:p w14:paraId="62C39902" w14:textId="42544305" w:rsidR="0055205C" w:rsidRPr="00510AD0" w:rsidRDefault="0055205C" w:rsidP="00F204E6">
            <w:pPr>
              <w:tabs>
                <w:tab w:val="right" w:pos="4320"/>
              </w:tabs>
              <w:ind w:left="360"/>
            </w:pPr>
            <w:r w:rsidRPr="00510AD0">
              <w:t xml:space="preserve">Attn:  </w:t>
            </w:r>
            <w:r w:rsidR="00354E00" w:rsidRPr="00354E00">
              <w:t>Kelly Everidge (Kelly.Everidge@pge.com)</w:t>
            </w:r>
          </w:p>
          <w:p w14:paraId="04D1BD85" w14:textId="6B226DD0" w:rsidR="0055205C" w:rsidRPr="00510AD0" w:rsidRDefault="005817A5" w:rsidP="00F204E6">
            <w:pPr>
              <w:tabs>
                <w:tab w:val="right" w:pos="4320"/>
              </w:tabs>
              <w:ind w:left="360"/>
            </w:pPr>
            <w:r w:rsidRPr="005817A5">
              <w:t>Sr. Director, Contract Mgmt, Settlements and Reporting</w:t>
            </w:r>
          </w:p>
        </w:tc>
      </w:tr>
      <w:tr w:rsidR="0055205C" w:rsidRPr="00510AD0" w14:paraId="70FE869D" w14:textId="77777777" w:rsidTr="004C4736">
        <w:tc>
          <w:tcPr>
            <w:tcW w:w="4788" w:type="dxa"/>
          </w:tcPr>
          <w:p w14:paraId="6F509FE0" w14:textId="77777777" w:rsidR="0055205C" w:rsidRPr="00510AD0" w:rsidRDefault="0055205C" w:rsidP="00DD660F">
            <w:pPr>
              <w:tabs>
                <w:tab w:val="right" w:pos="4320"/>
              </w:tabs>
              <w:rPr>
                <w:u w:val="single"/>
              </w:rPr>
            </w:pPr>
            <w:r w:rsidRPr="00510AD0">
              <w:t xml:space="preserve">Phone:  </w:t>
            </w:r>
          </w:p>
        </w:tc>
        <w:tc>
          <w:tcPr>
            <w:tcW w:w="5040" w:type="dxa"/>
          </w:tcPr>
          <w:p w14:paraId="031252C8" w14:textId="4C40B31F" w:rsidR="0055205C" w:rsidRPr="00510AD0" w:rsidRDefault="0055205C" w:rsidP="00F204E6">
            <w:pPr>
              <w:tabs>
                <w:tab w:val="right" w:pos="4320"/>
              </w:tabs>
              <w:ind w:left="360"/>
              <w:rPr>
                <w:u w:val="single"/>
              </w:rPr>
            </w:pPr>
            <w:r w:rsidRPr="00510AD0">
              <w:t xml:space="preserve">Phone: </w:t>
            </w:r>
            <w:r w:rsidR="00E91CB2" w:rsidRPr="00E91CB2">
              <w:t>(415) 517-6544</w:t>
            </w:r>
          </w:p>
        </w:tc>
      </w:tr>
      <w:tr w:rsidR="0055205C" w:rsidRPr="00510AD0" w14:paraId="26805F1E" w14:textId="77777777" w:rsidTr="004C4736">
        <w:tc>
          <w:tcPr>
            <w:tcW w:w="4788" w:type="dxa"/>
          </w:tcPr>
          <w:p w14:paraId="6F7F2B92" w14:textId="77777777" w:rsidR="0055205C" w:rsidRPr="00510AD0" w:rsidRDefault="0055205C" w:rsidP="00DD660F">
            <w:pPr>
              <w:tabs>
                <w:tab w:val="right" w:pos="4320"/>
              </w:tabs>
            </w:pPr>
          </w:p>
        </w:tc>
        <w:tc>
          <w:tcPr>
            <w:tcW w:w="5040" w:type="dxa"/>
          </w:tcPr>
          <w:p w14:paraId="7CB77E97" w14:textId="77777777" w:rsidR="0055205C" w:rsidRPr="00510AD0" w:rsidRDefault="0055205C" w:rsidP="00DD660F">
            <w:pPr>
              <w:tabs>
                <w:tab w:val="right" w:pos="4320"/>
              </w:tabs>
            </w:pPr>
          </w:p>
        </w:tc>
      </w:tr>
      <w:tr w:rsidR="0055205C" w:rsidRPr="00510AD0" w14:paraId="1D3D2B4B" w14:textId="77777777" w:rsidTr="004C4736">
        <w:tc>
          <w:tcPr>
            <w:tcW w:w="4788" w:type="dxa"/>
          </w:tcPr>
          <w:p w14:paraId="25CDC9E8" w14:textId="77777777" w:rsidR="0055205C" w:rsidRPr="00510AD0" w:rsidRDefault="0055205C" w:rsidP="00DD660F">
            <w:pPr>
              <w:tabs>
                <w:tab w:val="right" w:pos="4320"/>
              </w:tabs>
              <w:rPr>
                <w:b/>
                <w:bCs/>
              </w:rPr>
            </w:pPr>
            <w:r w:rsidRPr="00510AD0">
              <w:rPr>
                <w:b/>
                <w:bCs/>
              </w:rPr>
              <w:t xml:space="preserve">Invoices and Payments:  </w:t>
            </w:r>
          </w:p>
        </w:tc>
        <w:tc>
          <w:tcPr>
            <w:tcW w:w="5040" w:type="dxa"/>
          </w:tcPr>
          <w:p w14:paraId="62C7921C" w14:textId="77777777" w:rsidR="0055205C" w:rsidRPr="00510AD0" w:rsidRDefault="0055205C" w:rsidP="00DD660F">
            <w:pPr>
              <w:tabs>
                <w:tab w:val="right" w:pos="4320"/>
              </w:tabs>
              <w:rPr>
                <w:b/>
                <w:bCs/>
              </w:rPr>
            </w:pPr>
            <w:r w:rsidRPr="00510AD0">
              <w:rPr>
                <w:b/>
                <w:bCs/>
              </w:rPr>
              <w:t>Invoices and Payments:</w:t>
            </w:r>
          </w:p>
        </w:tc>
      </w:tr>
      <w:tr w:rsidR="0055205C" w:rsidRPr="00510AD0" w14:paraId="12B2FB3F" w14:textId="77777777" w:rsidTr="004C4736">
        <w:tc>
          <w:tcPr>
            <w:tcW w:w="4788" w:type="dxa"/>
          </w:tcPr>
          <w:p w14:paraId="4EB29E08" w14:textId="77777777" w:rsidR="0055205C" w:rsidRPr="00510AD0" w:rsidRDefault="0055205C" w:rsidP="00DD660F">
            <w:pPr>
              <w:tabs>
                <w:tab w:val="right" w:pos="4320"/>
              </w:tabs>
            </w:pPr>
            <w:r w:rsidRPr="00510AD0">
              <w:t xml:space="preserve">Attn:  </w:t>
            </w:r>
          </w:p>
        </w:tc>
        <w:tc>
          <w:tcPr>
            <w:tcW w:w="5040" w:type="dxa"/>
          </w:tcPr>
          <w:p w14:paraId="3565852E" w14:textId="70ACFB7E" w:rsidR="0055205C" w:rsidRPr="00510AD0" w:rsidRDefault="0055205C" w:rsidP="00DD660F">
            <w:pPr>
              <w:tabs>
                <w:tab w:val="left" w:pos="360"/>
                <w:tab w:val="right" w:pos="4320"/>
              </w:tabs>
              <w:ind w:left="360"/>
              <w:rPr>
                <w:u w:val="single"/>
              </w:rPr>
            </w:pPr>
            <w:r w:rsidRPr="00510AD0">
              <w:t xml:space="preserve">Attn:  </w:t>
            </w:r>
            <w:r w:rsidR="00F5244B" w:rsidRPr="00510AD0">
              <w:t>Kelly</w:t>
            </w:r>
            <w:r w:rsidR="00C32AC1" w:rsidRPr="00510AD0">
              <w:t>.</w:t>
            </w:r>
            <w:r w:rsidRPr="00510AD0">
              <w:t>Wong (K.Wong@pge.com)</w:t>
            </w:r>
          </w:p>
        </w:tc>
      </w:tr>
      <w:tr w:rsidR="0055205C" w:rsidRPr="00510AD0" w14:paraId="0740CA8F" w14:textId="77777777" w:rsidTr="004C4736">
        <w:tc>
          <w:tcPr>
            <w:tcW w:w="4788" w:type="dxa"/>
          </w:tcPr>
          <w:p w14:paraId="775D68F0" w14:textId="77777777" w:rsidR="0055205C" w:rsidRPr="00510AD0" w:rsidRDefault="0055205C" w:rsidP="00DD660F">
            <w:pPr>
              <w:tabs>
                <w:tab w:val="left" w:pos="360"/>
                <w:tab w:val="right" w:pos="4320"/>
              </w:tabs>
            </w:pPr>
          </w:p>
        </w:tc>
        <w:tc>
          <w:tcPr>
            <w:tcW w:w="5040" w:type="dxa"/>
          </w:tcPr>
          <w:p w14:paraId="558FC336" w14:textId="77777777" w:rsidR="0055205C" w:rsidRPr="00510AD0" w:rsidRDefault="0055205C" w:rsidP="00DD660F">
            <w:pPr>
              <w:tabs>
                <w:tab w:val="left" w:pos="360"/>
                <w:tab w:val="right" w:pos="4320"/>
              </w:tabs>
              <w:ind w:left="360"/>
              <w:rPr>
                <w:u w:val="single"/>
              </w:rPr>
            </w:pPr>
            <w:r w:rsidRPr="00510AD0">
              <w:t>Senior Manager, Electric Settlements</w:t>
            </w:r>
          </w:p>
        </w:tc>
      </w:tr>
      <w:tr w:rsidR="0055205C" w:rsidRPr="00510AD0" w14:paraId="27D45391" w14:textId="77777777" w:rsidTr="004C4736">
        <w:tc>
          <w:tcPr>
            <w:tcW w:w="4788" w:type="dxa"/>
          </w:tcPr>
          <w:p w14:paraId="5BA77E8E" w14:textId="77777777" w:rsidR="0055205C" w:rsidRPr="00510AD0" w:rsidRDefault="0055205C" w:rsidP="00DD660F">
            <w:pPr>
              <w:tabs>
                <w:tab w:val="left" w:pos="360"/>
                <w:tab w:val="right" w:pos="4320"/>
              </w:tabs>
              <w:ind w:left="360"/>
              <w:rPr>
                <w:u w:val="single"/>
              </w:rPr>
            </w:pPr>
            <w:r w:rsidRPr="00510AD0">
              <w:t xml:space="preserve">Phone:  </w:t>
            </w:r>
          </w:p>
        </w:tc>
        <w:tc>
          <w:tcPr>
            <w:tcW w:w="5040" w:type="dxa"/>
          </w:tcPr>
          <w:p w14:paraId="43AEE6AD" w14:textId="0055DD11" w:rsidR="0055205C" w:rsidRPr="00510AD0" w:rsidRDefault="0055205C" w:rsidP="00DD660F">
            <w:pPr>
              <w:tabs>
                <w:tab w:val="left" w:pos="360"/>
                <w:tab w:val="right" w:pos="4320"/>
              </w:tabs>
              <w:ind w:left="360"/>
            </w:pPr>
            <w:r w:rsidRPr="00510AD0">
              <w:t>Phone: (510) 220-6064</w:t>
            </w:r>
          </w:p>
        </w:tc>
      </w:tr>
      <w:tr w:rsidR="0055205C" w:rsidRPr="00510AD0" w14:paraId="5B13AFFF" w14:textId="77777777" w:rsidTr="004C4736">
        <w:tc>
          <w:tcPr>
            <w:tcW w:w="4788" w:type="dxa"/>
          </w:tcPr>
          <w:p w14:paraId="1796978D" w14:textId="77777777" w:rsidR="0055205C" w:rsidRPr="00510AD0" w:rsidRDefault="0055205C" w:rsidP="00DD660F">
            <w:pPr>
              <w:tabs>
                <w:tab w:val="left" w:pos="360"/>
                <w:tab w:val="right" w:pos="4320"/>
              </w:tabs>
              <w:ind w:left="360"/>
            </w:pPr>
          </w:p>
        </w:tc>
        <w:tc>
          <w:tcPr>
            <w:tcW w:w="5040" w:type="dxa"/>
          </w:tcPr>
          <w:p w14:paraId="0740C6B5" w14:textId="77777777" w:rsidR="0055205C" w:rsidRPr="00510AD0" w:rsidRDefault="0055205C" w:rsidP="00DD660F">
            <w:pPr>
              <w:tabs>
                <w:tab w:val="left" w:pos="360"/>
                <w:tab w:val="right" w:pos="4320"/>
              </w:tabs>
              <w:ind w:left="360"/>
            </w:pPr>
          </w:p>
        </w:tc>
      </w:tr>
      <w:tr w:rsidR="0055205C" w:rsidRPr="00510AD0" w14:paraId="1D970B1E" w14:textId="77777777" w:rsidTr="004C4736">
        <w:tc>
          <w:tcPr>
            <w:tcW w:w="4788" w:type="dxa"/>
          </w:tcPr>
          <w:p w14:paraId="1D53A3DA" w14:textId="77777777" w:rsidR="0055205C" w:rsidRPr="00510AD0" w:rsidRDefault="0055205C" w:rsidP="00DD660F">
            <w:pPr>
              <w:keepNext/>
              <w:tabs>
                <w:tab w:val="right" w:pos="4320"/>
              </w:tabs>
              <w:rPr>
                <w:b/>
                <w:bCs/>
              </w:rPr>
            </w:pPr>
            <w:r w:rsidRPr="00510AD0">
              <w:rPr>
                <w:b/>
                <w:bCs/>
              </w:rPr>
              <w:t xml:space="preserve">Wire Transfer:  </w:t>
            </w:r>
          </w:p>
        </w:tc>
        <w:tc>
          <w:tcPr>
            <w:tcW w:w="5040" w:type="dxa"/>
          </w:tcPr>
          <w:p w14:paraId="2CC1B059" w14:textId="77777777" w:rsidR="0055205C" w:rsidRPr="00510AD0" w:rsidRDefault="0055205C" w:rsidP="00DD660F">
            <w:pPr>
              <w:keepNext/>
              <w:tabs>
                <w:tab w:val="right" w:pos="4320"/>
              </w:tabs>
              <w:rPr>
                <w:b/>
                <w:bCs/>
              </w:rPr>
            </w:pPr>
            <w:r w:rsidRPr="00510AD0">
              <w:rPr>
                <w:b/>
                <w:bCs/>
              </w:rPr>
              <w:t>Wire Transfer:</w:t>
            </w:r>
          </w:p>
        </w:tc>
      </w:tr>
      <w:tr w:rsidR="0055205C" w:rsidRPr="00510AD0" w14:paraId="5AD61A66" w14:textId="77777777" w:rsidTr="004C4736">
        <w:tc>
          <w:tcPr>
            <w:tcW w:w="4788" w:type="dxa"/>
          </w:tcPr>
          <w:p w14:paraId="46924DFF" w14:textId="77777777" w:rsidR="0055205C" w:rsidRPr="00510AD0" w:rsidRDefault="0055205C" w:rsidP="00DD660F">
            <w:pPr>
              <w:keepNext/>
              <w:tabs>
                <w:tab w:val="left" w:pos="630"/>
                <w:tab w:val="right" w:pos="4320"/>
              </w:tabs>
              <w:ind w:left="360"/>
            </w:pPr>
            <w:r w:rsidRPr="00510AD0">
              <w:t xml:space="preserve">BNK:  </w:t>
            </w:r>
          </w:p>
          <w:p w14:paraId="75C71024" w14:textId="77777777" w:rsidR="0055205C" w:rsidRPr="00510AD0" w:rsidRDefault="0055205C" w:rsidP="00DD660F">
            <w:pPr>
              <w:keepNext/>
              <w:tabs>
                <w:tab w:val="left" w:pos="630"/>
                <w:tab w:val="right" w:pos="4320"/>
              </w:tabs>
              <w:ind w:left="360"/>
            </w:pPr>
            <w:r w:rsidRPr="00510AD0">
              <w:t xml:space="preserve">ACCT Title:  </w:t>
            </w:r>
          </w:p>
          <w:p w14:paraId="70C3337B" w14:textId="77777777" w:rsidR="0055205C" w:rsidRPr="00510AD0" w:rsidRDefault="0055205C" w:rsidP="00DD660F">
            <w:pPr>
              <w:keepNext/>
              <w:tabs>
                <w:tab w:val="left" w:pos="630"/>
                <w:tab w:val="right" w:pos="4320"/>
              </w:tabs>
              <w:ind w:left="360"/>
            </w:pPr>
            <w:r w:rsidRPr="00510AD0">
              <w:t xml:space="preserve">ABA:   </w:t>
            </w:r>
          </w:p>
          <w:p w14:paraId="0B9AE003" w14:textId="77777777" w:rsidR="0055205C" w:rsidRPr="00510AD0" w:rsidRDefault="0055205C" w:rsidP="00DD660F">
            <w:pPr>
              <w:tabs>
                <w:tab w:val="left" w:pos="630"/>
                <w:tab w:val="right" w:pos="4320"/>
              </w:tabs>
              <w:ind w:left="360"/>
            </w:pPr>
            <w:r w:rsidRPr="00510AD0">
              <w:t xml:space="preserve">ACCT:  </w:t>
            </w:r>
          </w:p>
          <w:p w14:paraId="4F907CF9" w14:textId="77777777" w:rsidR="0055205C" w:rsidRPr="00510AD0" w:rsidRDefault="0055205C" w:rsidP="00DD660F">
            <w:pPr>
              <w:tabs>
                <w:tab w:val="left" w:pos="630"/>
                <w:tab w:val="right" w:pos="4320"/>
              </w:tabs>
              <w:ind w:left="360"/>
            </w:pPr>
            <w:r w:rsidRPr="00510AD0">
              <w:t xml:space="preserve">DUNS:  </w:t>
            </w:r>
          </w:p>
          <w:p w14:paraId="75174AE6" w14:textId="77777777" w:rsidR="0055205C" w:rsidRPr="00510AD0" w:rsidRDefault="0055205C" w:rsidP="00DD660F">
            <w:pPr>
              <w:tabs>
                <w:tab w:val="left" w:pos="630"/>
                <w:tab w:val="right" w:pos="4320"/>
              </w:tabs>
              <w:ind w:left="360"/>
            </w:pPr>
            <w:r w:rsidRPr="00510AD0">
              <w:t xml:space="preserve">Federal Tax ID Number:  </w:t>
            </w:r>
          </w:p>
        </w:tc>
        <w:tc>
          <w:tcPr>
            <w:tcW w:w="5040" w:type="dxa"/>
          </w:tcPr>
          <w:p w14:paraId="19A14FB8" w14:textId="77777777" w:rsidR="0055205C" w:rsidRPr="00510AD0" w:rsidRDefault="0055205C" w:rsidP="00DD660F">
            <w:pPr>
              <w:keepNext/>
              <w:tabs>
                <w:tab w:val="left" w:pos="360"/>
                <w:tab w:val="right" w:pos="4320"/>
              </w:tabs>
              <w:ind w:left="360"/>
            </w:pPr>
            <w:r w:rsidRPr="00510AD0">
              <w:t xml:space="preserve">BNK:  </w:t>
            </w:r>
          </w:p>
          <w:p w14:paraId="5C7C0A8D" w14:textId="77777777" w:rsidR="0055205C" w:rsidRPr="00510AD0" w:rsidRDefault="0055205C" w:rsidP="00DD660F">
            <w:pPr>
              <w:keepNext/>
              <w:tabs>
                <w:tab w:val="left" w:pos="360"/>
                <w:tab w:val="right" w:pos="4320"/>
              </w:tabs>
              <w:ind w:left="360"/>
            </w:pPr>
            <w:r w:rsidRPr="00510AD0">
              <w:t>ACC Title:  PG&amp;E</w:t>
            </w:r>
          </w:p>
          <w:p w14:paraId="1DADB2B8" w14:textId="77777777" w:rsidR="0055205C" w:rsidRPr="00510AD0" w:rsidRDefault="0055205C" w:rsidP="00DD660F">
            <w:pPr>
              <w:keepNext/>
              <w:tabs>
                <w:tab w:val="left" w:pos="360"/>
                <w:tab w:val="right" w:pos="4320"/>
              </w:tabs>
              <w:ind w:left="360"/>
            </w:pPr>
            <w:r w:rsidRPr="00510AD0">
              <w:t xml:space="preserve">ABA: </w:t>
            </w:r>
          </w:p>
          <w:p w14:paraId="2BADFB1C" w14:textId="77777777" w:rsidR="0055205C" w:rsidRPr="00510AD0" w:rsidRDefault="0055205C" w:rsidP="00DD660F">
            <w:pPr>
              <w:tabs>
                <w:tab w:val="left" w:pos="360"/>
                <w:tab w:val="right" w:pos="4320"/>
              </w:tabs>
              <w:ind w:left="360"/>
            </w:pPr>
            <w:r w:rsidRPr="00510AD0">
              <w:t xml:space="preserve">ACCT:  </w:t>
            </w:r>
          </w:p>
          <w:p w14:paraId="4C8738D6" w14:textId="77777777" w:rsidR="0055205C" w:rsidRPr="00510AD0" w:rsidRDefault="0055205C" w:rsidP="00DD660F">
            <w:pPr>
              <w:tabs>
                <w:tab w:val="left" w:pos="360"/>
                <w:tab w:val="right" w:pos="4320"/>
              </w:tabs>
              <w:ind w:left="360"/>
            </w:pPr>
            <w:r w:rsidRPr="00510AD0">
              <w:t xml:space="preserve">DUNS:  </w:t>
            </w:r>
          </w:p>
          <w:p w14:paraId="7A9C5782" w14:textId="77777777" w:rsidR="0055205C" w:rsidRPr="00510AD0" w:rsidRDefault="0055205C" w:rsidP="00DD660F">
            <w:pPr>
              <w:tabs>
                <w:tab w:val="left" w:pos="360"/>
                <w:tab w:val="right" w:pos="4320"/>
              </w:tabs>
              <w:ind w:left="360"/>
            </w:pPr>
            <w:r w:rsidRPr="00510AD0">
              <w:t xml:space="preserve">Federal Tax ID Number: </w:t>
            </w:r>
          </w:p>
        </w:tc>
      </w:tr>
      <w:tr w:rsidR="0055205C" w:rsidRPr="00510AD0" w14:paraId="3158367F" w14:textId="77777777" w:rsidTr="004C4736">
        <w:tc>
          <w:tcPr>
            <w:tcW w:w="4788" w:type="dxa"/>
          </w:tcPr>
          <w:p w14:paraId="62BFA4C7" w14:textId="77777777" w:rsidR="0055205C" w:rsidRPr="00510AD0" w:rsidRDefault="0055205C" w:rsidP="00DD660F">
            <w:pPr>
              <w:tabs>
                <w:tab w:val="left" w:pos="360"/>
                <w:tab w:val="right" w:pos="4320"/>
              </w:tabs>
              <w:ind w:left="360"/>
            </w:pPr>
          </w:p>
        </w:tc>
        <w:tc>
          <w:tcPr>
            <w:tcW w:w="5040" w:type="dxa"/>
          </w:tcPr>
          <w:p w14:paraId="6D214B72" w14:textId="77777777" w:rsidR="0055205C" w:rsidRPr="00510AD0" w:rsidRDefault="0055205C" w:rsidP="00DD660F">
            <w:pPr>
              <w:tabs>
                <w:tab w:val="left" w:pos="360"/>
                <w:tab w:val="right" w:pos="4320"/>
              </w:tabs>
              <w:ind w:left="360"/>
            </w:pPr>
          </w:p>
        </w:tc>
      </w:tr>
      <w:tr w:rsidR="0055205C" w:rsidRPr="00510AD0" w14:paraId="35ACCB11" w14:textId="77777777" w:rsidTr="004C4736">
        <w:tc>
          <w:tcPr>
            <w:tcW w:w="4788" w:type="dxa"/>
          </w:tcPr>
          <w:p w14:paraId="202F7723" w14:textId="77777777" w:rsidR="0055205C" w:rsidRPr="00510AD0" w:rsidRDefault="0055205C" w:rsidP="00DD660F">
            <w:pPr>
              <w:tabs>
                <w:tab w:val="right" w:pos="4320"/>
              </w:tabs>
              <w:rPr>
                <w:b/>
                <w:bCs/>
              </w:rPr>
            </w:pPr>
            <w:r w:rsidRPr="00510AD0">
              <w:rPr>
                <w:b/>
                <w:bCs/>
              </w:rPr>
              <w:t xml:space="preserve">Credit and Collections:  </w:t>
            </w:r>
          </w:p>
        </w:tc>
        <w:tc>
          <w:tcPr>
            <w:tcW w:w="5040" w:type="dxa"/>
          </w:tcPr>
          <w:p w14:paraId="57FA3AC0" w14:textId="77777777" w:rsidR="0055205C" w:rsidRPr="00510AD0" w:rsidRDefault="0055205C" w:rsidP="00DD660F">
            <w:pPr>
              <w:tabs>
                <w:tab w:val="right" w:pos="4320"/>
              </w:tabs>
              <w:rPr>
                <w:b/>
                <w:bCs/>
              </w:rPr>
            </w:pPr>
            <w:r w:rsidRPr="00510AD0">
              <w:rPr>
                <w:b/>
                <w:bCs/>
              </w:rPr>
              <w:t>Credit and Collections:</w:t>
            </w:r>
          </w:p>
        </w:tc>
      </w:tr>
      <w:tr w:rsidR="0055205C" w:rsidRPr="00510AD0" w14:paraId="61C3156F" w14:textId="77777777" w:rsidTr="004C4736">
        <w:tc>
          <w:tcPr>
            <w:tcW w:w="4788" w:type="dxa"/>
          </w:tcPr>
          <w:p w14:paraId="40F7138F" w14:textId="77777777" w:rsidR="0055205C" w:rsidRPr="00510AD0" w:rsidRDefault="0055205C" w:rsidP="00DD660F">
            <w:pPr>
              <w:tabs>
                <w:tab w:val="left" w:pos="360"/>
                <w:tab w:val="right" w:pos="4320"/>
              </w:tabs>
              <w:ind w:left="360"/>
              <w:rPr>
                <w:u w:val="single"/>
              </w:rPr>
            </w:pPr>
            <w:r w:rsidRPr="00510AD0">
              <w:t xml:space="preserve">Attn:  </w:t>
            </w:r>
          </w:p>
        </w:tc>
        <w:tc>
          <w:tcPr>
            <w:tcW w:w="5040" w:type="dxa"/>
          </w:tcPr>
          <w:p w14:paraId="61B61A42" w14:textId="77777777" w:rsidR="0055205C" w:rsidRPr="00510AD0" w:rsidRDefault="0055205C" w:rsidP="00DD660F">
            <w:pPr>
              <w:tabs>
                <w:tab w:val="left" w:pos="360"/>
                <w:tab w:val="right" w:pos="4320"/>
              </w:tabs>
              <w:ind w:left="360"/>
            </w:pPr>
            <w:r w:rsidRPr="00510AD0">
              <w:t xml:space="preserve">Attn:  Credit Risk Management </w:t>
            </w:r>
          </w:p>
          <w:p w14:paraId="221A307E" w14:textId="77777777" w:rsidR="0055205C" w:rsidRPr="00510AD0" w:rsidRDefault="0055205C" w:rsidP="00DD660F">
            <w:pPr>
              <w:tabs>
                <w:tab w:val="left" w:pos="360"/>
                <w:tab w:val="right" w:pos="4320"/>
              </w:tabs>
              <w:ind w:left="360"/>
              <w:rPr>
                <w:u w:val="single"/>
              </w:rPr>
            </w:pPr>
            <w:r w:rsidRPr="00510AD0">
              <w:t xml:space="preserve">          PGERiskCredit@Exchange.pge.com</w:t>
            </w:r>
          </w:p>
        </w:tc>
      </w:tr>
      <w:tr w:rsidR="0055205C" w:rsidRPr="00510AD0" w14:paraId="475E0FA7" w14:textId="77777777" w:rsidTr="004C4736">
        <w:tc>
          <w:tcPr>
            <w:tcW w:w="4788" w:type="dxa"/>
          </w:tcPr>
          <w:p w14:paraId="141A1DFE" w14:textId="77777777" w:rsidR="0055205C" w:rsidRPr="00510AD0" w:rsidRDefault="0055205C" w:rsidP="00DD660F">
            <w:pPr>
              <w:tabs>
                <w:tab w:val="left" w:pos="360"/>
                <w:tab w:val="right" w:pos="4320"/>
              </w:tabs>
              <w:ind w:left="360"/>
              <w:rPr>
                <w:u w:val="single"/>
              </w:rPr>
            </w:pPr>
            <w:r w:rsidRPr="00510AD0">
              <w:t xml:space="preserve">Phone:  </w:t>
            </w:r>
          </w:p>
        </w:tc>
        <w:tc>
          <w:tcPr>
            <w:tcW w:w="5040" w:type="dxa"/>
          </w:tcPr>
          <w:p w14:paraId="373A01A6" w14:textId="05A64840" w:rsidR="0055205C" w:rsidRPr="00510AD0" w:rsidRDefault="0055205C" w:rsidP="00DD660F">
            <w:pPr>
              <w:tabs>
                <w:tab w:val="left" w:pos="360"/>
                <w:tab w:val="right" w:pos="4320"/>
              </w:tabs>
              <w:ind w:left="360"/>
              <w:rPr>
                <w:u w:val="single"/>
              </w:rPr>
            </w:pPr>
          </w:p>
        </w:tc>
      </w:tr>
      <w:tr w:rsidR="0055205C" w:rsidRPr="00510AD0" w14:paraId="42C8431F" w14:textId="77777777" w:rsidTr="004C4736">
        <w:tc>
          <w:tcPr>
            <w:tcW w:w="4788" w:type="dxa"/>
          </w:tcPr>
          <w:p w14:paraId="7E8B450B" w14:textId="77777777" w:rsidR="0055205C" w:rsidRPr="00510AD0" w:rsidRDefault="0055205C" w:rsidP="00DD660F">
            <w:pPr>
              <w:tabs>
                <w:tab w:val="right" w:pos="4320"/>
              </w:tabs>
            </w:pPr>
          </w:p>
        </w:tc>
        <w:tc>
          <w:tcPr>
            <w:tcW w:w="5040" w:type="dxa"/>
          </w:tcPr>
          <w:p w14:paraId="3FE4ACDC" w14:textId="77777777" w:rsidR="0055205C" w:rsidRPr="00510AD0" w:rsidRDefault="0055205C" w:rsidP="00DD660F">
            <w:pPr>
              <w:tabs>
                <w:tab w:val="right" w:pos="4320"/>
              </w:tabs>
            </w:pPr>
          </w:p>
        </w:tc>
      </w:tr>
      <w:tr w:rsidR="0055205C" w:rsidRPr="00510AD0" w14:paraId="083B9B9F" w14:textId="77777777" w:rsidTr="004C4736">
        <w:tc>
          <w:tcPr>
            <w:tcW w:w="4788" w:type="dxa"/>
          </w:tcPr>
          <w:p w14:paraId="17C3D5E1" w14:textId="77777777" w:rsidR="0055205C" w:rsidRPr="00510AD0" w:rsidRDefault="0055205C" w:rsidP="00DD660F">
            <w:pPr>
              <w:tabs>
                <w:tab w:val="right" w:pos="4320"/>
              </w:tabs>
            </w:pPr>
          </w:p>
        </w:tc>
        <w:tc>
          <w:tcPr>
            <w:tcW w:w="5040" w:type="dxa"/>
          </w:tcPr>
          <w:p w14:paraId="4EF0D581" w14:textId="77777777" w:rsidR="0055205C" w:rsidRPr="00510AD0" w:rsidRDefault="0055205C" w:rsidP="00DD660F">
            <w:pPr>
              <w:tabs>
                <w:tab w:val="right" w:pos="4320"/>
              </w:tabs>
            </w:pPr>
          </w:p>
        </w:tc>
      </w:tr>
      <w:tr w:rsidR="0055205C" w:rsidRPr="00510AD0" w14:paraId="755D7A5A" w14:textId="77777777" w:rsidTr="004C4736">
        <w:tc>
          <w:tcPr>
            <w:tcW w:w="4788" w:type="dxa"/>
          </w:tcPr>
          <w:p w14:paraId="71CDC97F" w14:textId="77777777" w:rsidR="0055205C" w:rsidRPr="00510AD0" w:rsidRDefault="0055205C" w:rsidP="00DD660F">
            <w:pPr>
              <w:tabs>
                <w:tab w:val="right" w:pos="4320"/>
              </w:tabs>
              <w:rPr>
                <w:b/>
              </w:rPr>
            </w:pPr>
            <w:r w:rsidRPr="00510AD0">
              <w:rPr>
                <w:b/>
              </w:rPr>
              <w:t>With additional Notices of an Event of Default to Contract Manager:</w:t>
            </w:r>
          </w:p>
        </w:tc>
        <w:tc>
          <w:tcPr>
            <w:tcW w:w="5040" w:type="dxa"/>
          </w:tcPr>
          <w:p w14:paraId="7EB809D0" w14:textId="77777777" w:rsidR="0055205C" w:rsidRPr="00510AD0" w:rsidRDefault="0055205C" w:rsidP="00DD660F">
            <w:pPr>
              <w:tabs>
                <w:tab w:val="right" w:pos="4320"/>
              </w:tabs>
              <w:rPr>
                <w:b/>
              </w:rPr>
            </w:pPr>
            <w:r w:rsidRPr="00510AD0">
              <w:rPr>
                <w:b/>
              </w:rPr>
              <w:t>With additional Notices of an Event of Default to Contract Manager:</w:t>
            </w:r>
          </w:p>
        </w:tc>
      </w:tr>
      <w:tr w:rsidR="0055205C" w:rsidRPr="00510AD0" w14:paraId="2CCD796F" w14:textId="77777777" w:rsidTr="004C4736">
        <w:tc>
          <w:tcPr>
            <w:tcW w:w="4788" w:type="dxa"/>
          </w:tcPr>
          <w:p w14:paraId="1E2BD066" w14:textId="77777777" w:rsidR="0055205C" w:rsidRPr="00510AD0" w:rsidRDefault="0055205C" w:rsidP="00DD660F">
            <w:pPr>
              <w:tabs>
                <w:tab w:val="left" w:pos="360"/>
                <w:tab w:val="right" w:pos="4320"/>
              </w:tabs>
              <w:ind w:left="360"/>
            </w:pPr>
            <w:r w:rsidRPr="00510AD0">
              <w:t xml:space="preserve">Attn: </w:t>
            </w:r>
          </w:p>
          <w:p w14:paraId="11E69CB8" w14:textId="77777777" w:rsidR="0055205C" w:rsidRPr="00510AD0" w:rsidRDefault="0055205C" w:rsidP="00DD660F">
            <w:pPr>
              <w:tabs>
                <w:tab w:val="left" w:pos="360"/>
                <w:tab w:val="right" w:pos="4320"/>
              </w:tabs>
              <w:ind w:left="360"/>
            </w:pPr>
          </w:p>
          <w:p w14:paraId="5716F325" w14:textId="77777777" w:rsidR="0055205C" w:rsidRPr="00510AD0" w:rsidRDefault="0055205C" w:rsidP="00DD660F">
            <w:pPr>
              <w:tabs>
                <w:tab w:val="left" w:pos="360"/>
                <w:tab w:val="right" w:pos="4320"/>
              </w:tabs>
              <w:ind w:left="360"/>
              <w:rPr>
                <w:u w:val="single"/>
              </w:rPr>
            </w:pPr>
          </w:p>
        </w:tc>
        <w:tc>
          <w:tcPr>
            <w:tcW w:w="5040" w:type="dxa"/>
          </w:tcPr>
          <w:p w14:paraId="267AA40A" w14:textId="258107DF" w:rsidR="0055205C" w:rsidRPr="00510AD0" w:rsidRDefault="0055205C" w:rsidP="00DD660F">
            <w:pPr>
              <w:tabs>
                <w:tab w:val="right" w:pos="4320"/>
              </w:tabs>
              <w:ind w:left="360"/>
            </w:pPr>
            <w:r w:rsidRPr="00510AD0">
              <w:t xml:space="preserve">Attn:  </w:t>
            </w:r>
            <w:r w:rsidR="00E91CB2">
              <w:t>Ryan Susanto</w:t>
            </w:r>
            <w:r w:rsidRPr="00510AD0">
              <w:t xml:space="preserve"> (</w:t>
            </w:r>
            <w:r w:rsidR="00BD4C26" w:rsidRPr="00BD4C26">
              <w:t>Ryan.Susanto@pge.com</w:t>
            </w:r>
            <w:r w:rsidRPr="00510AD0">
              <w:t>)</w:t>
            </w:r>
          </w:p>
          <w:p w14:paraId="49F3E60E" w14:textId="77777777" w:rsidR="0055205C" w:rsidRPr="00510AD0" w:rsidRDefault="0055205C" w:rsidP="00DD660F">
            <w:pPr>
              <w:tabs>
                <w:tab w:val="left" w:pos="360"/>
                <w:tab w:val="right" w:pos="4320"/>
              </w:tabs>
              <w:ind w:left="360"/>
              <w:rPr>
                <w:u w:val="single"/>
                <w:lang w:val="nl-BE"/>
              </w:rPr>
            </w:pPr>
            <w:r w:rsidRPr="00510AD0">
              <w:t>Senior Manager, Contract Management</w:t>
            </w:r>
          </w:p>
        </w:tc>
      </w:tr>
      <w:tr w:rsidR="0055205C" w:rsidRPr="00510AD0" w14:paraId="587193F4" w14:textId="77777777" w:rsidTr="004C4736">
        <w:tc>
          <w:tcPr>
            <w:tcW w:w="4788" w:type="dxa"/>
          </w:tcPr>
          <w:p w14:paraId="61B862B3" w14:textId="77777777" w:rsidR="0055205C" w:rsidRPr="00510AD0" w:rsidRDefault="0055205C" w:rsidP="00DD660F">
            <w:pPr>
              <w:tabs>
                <w:tab w:val="left" w:pos="360"/>
                <w:tab w:val="right" w:pos="4320"/>
              </w:tabs>
              <w:ind w:left="360"/>
              <w:rPr>
                <w:u w:val="single"/>
              </w:rPr>
            </w:pPr>
            <w:r w:rsidRPr="00510AD0">
              <w:t xml:space="preserve">Phone: </w:t>
            </w:r>
          </w:p>
        </w:tc>
        <w:tc>
          <w:tcPr>
            <w:tcW w:w="5040" w:type="dxa"/>
          </w:tcPr>
          <w:p w14:paraId="79AF62E3" w14:textId="4F374245" w:rsidR="0055205C" w:rsidRPr="00510AD0" w:rsidRDefault="0055205C" w:rsidP="00DD660F">
            <w:pPr>
              <w:tabs>
                <w:tab w:val="left" w:pos="360"/>
                <w:tab w:val="right" w:pos="4320"/>
              </w:tabs>
              <w:ind w:left="360"/>
              <w:rPr>
                <w:u w:val="single"/>
              </w:rPr>
            </w:pPr>
            <w:r w:rsidRPr="00510AD0">
              <w:t xml:space="preserve">Phone: </w:t>
            </w:r>
            <w:r w:rsidR="00D943D5">
              <w:t>(</w:t>
            </w:r>
            <w:r w:rsidR="00045CB0" w:rsidRPr="00045CB0">
              <w:t>650</w:t>
            </w:r>
            <w:r w:rsidR="00D943D5">
              <w:t xml:space="preserve">) </w:t>
            </w:r>
            <w:r w:rsidR="00045CB0" w:rsidRPr="00045CB0">
              <w:t>255-2343</w:t>
            </w:r>
          </w:p>
        </w:tc>
      </w:tr>
    </w:tbl>
    <w:p w14:paraId="1845CA4A" w14:textId="77777777" w:rsidR="0055205C" w:rsidRPr="00510AD0" w:rsidRDefault="0055205C" w:rsidP="00E907E0">
      <w:pPr>
        <w:spacing w:after="240"/>
      </w:pPr>
    </w:p>
    <w:p w14:paraId="486E39C5" w14:textId="77777777" w:rsidR="0055205C" w:rsidRPr="00510AD0" w:rsidRDefault="0055205C" w:rsidP="00E907E0">
      <w:pPr>
        <w:spacing w:after="240"/>
        <w:sectPr w:rsidR="0055205C" w:rsidRPr="00510AD0" w:rsidSect="0070095F">
          <w:headerReference w:type="default" r:id="rId51"/>
          <w:footerReference w:type="default" r:id="rId52"/>
          <w:pgSz w:w="12240" w:h="15840"/>
          <w:pgMar w:top="1440" w:right="1440" w:bottom="1440" w:left="1440" w:header="432" w:footer="432" w:gutter="0"/>
          <w:pgNumType w:start="1"/>
          <w:cols w:space="720"/>
          <w:docGrid w:linePitch="360"/>
        </w:sectPr>
      </w:pPr>
    </w:p>
    <w:p w14:paraId="47AB1FF2" w14:textId="373904C3" w:rsidR="0055205C" w:rsidRPr="00510AD0" w:rsidRDefault="0055205C" w:rsidP="00027CC8">
      <w:pPr>
        <w:pStyle w:val="Appendix"/>
      </w:pPr>
      <w:r w:rsidRPr="00510AD0">
        <w:lastRenderedPageBreak/>
        <w:t>APPENDIX XI</w:t>
      </w:r>
      <w:r w:rsidRPr="00510AD0">
        <w:br/>
      </w:r>
      <w:r w:rsidRPr="00510AD0">
        <w:br/>
      </w:r>
      <w:r w:rsidR="00FA17FB" w:rsidRPr="00510AD0">
        <w:t>[RESERVED]</w:t>
      </w:r>
    </w:p>
    <w:p w14:paraId="0BA53F88" w14:textId="77777777" w:rsidR="0055205C" w:rsidRPr="00510AD0" w:rsidRDefault="0055205C" w:rsidP="0037142C">
      <w:pPr>
        <w:pStyle w:val="BodyText"/>
        <w:sectPr w:rsidR="0055205C" w:rsidRPr="00510AD0" w:rsidSect="00D07DB1">
          <w:headerReference w:type="default" r:id="rId53"/>
          <w:footerReference w:type="default" r:id="rId54"/>
          <w:pgSz w:w="12240" w:h="15840"/>
          <w:pgMar w:top="1296" w:right="1440" w:bottom="1296" w:left="1440" w:header="432" w:footer="432" w:gutter="0"/>
          <w:pgNumType w:start="1"/>
          <w:cols w:space="720"/>
          <w:docGrid w:linePitch="360"/>
        </w:sectPr>
      </w:pPr>
    </w:p>
    <w:p w14:paraId="5D82FDF3" w14:textId="77777777" w:rsidR="0055205C" w:rsidRPr="00510AD0" w:rsidRDefault="0055205C" w:rsidP="00027CC8">
      <w:pPr>
        <w:pStyle w:val="Appendix"/>
      </w:pPr>
      <w:r w:rsidRPr="00510AD0">
        <w:lastRenderedPageBreak/>
        <w:t>APPENDIX XII</w:t>
      </w:r>
      <w:bookmarkStart w:id="938" w:name="_Ref69141906"/>
      <w:r w:rsidRPr="00510AD0">
        <w:rPr>
          <w:rStyle w:val="FootnoteReference"/>
        </w:rPr>
        <w:footnoteReference w:id="59"/>
      </w:r>
      <w:bookmarkEnd w:id="938"/>
      <w:r w:rsidRPr="00510AD0">
        <w:br/>
      </w:r>
      <w:r w:rsidRPr="00510AD0">
        <w:br/>
        <w:t>MULTIPLE-USE ATTESTATION</w:t>
      </w:r>
    </w:p>
    <w:p w14:paraId="2908B390" w14:textId="77777777" w:rsidR="0081166A" w:rsidRPr="00510AD0" w:rsidRDefault="0081166A" w:rsidP="00A70840">
      <w:pPr>
        <w:pStyle w:val="BodyTextLeft"/>
      </w:pPr>
    </w:p>
    <w:p w14:paraId="32908877" w14:textId="0AA2F7CA" w:rsidR="0055205C" w:rsidRPr="00510AD0" w:rsidRDefault="0055205C" w:rsidP="00A70840">
      <w:pPr>
        <w:pStyle w:val="BodyTextLeft"/>
      </w:pPr>
      <w:r w:rsidRPr="00510AD0">
        <w:t>This attestation is delivered by _______(“Seller”) to Pacific Gas and Electric Company (“Buyer”) in accordance with the terms of that certain CPE Resource Adequacy Agreement dated _______ (“Agreement”) by and between Seller and Buyer.  All capitalized terms used in this attestation but not otherwise defined herein shall have the respective meanings assigned to such terms in the Agreement.</w:t>
      </w:r>
    </w:p>
    <w:p w14:paraId="6DD00370" w14:textId="77777777" w:rsidR="0055205C" w:rsidRPr="00510AD0" w:rsidRDefault="0055205C" w:rsidP="00A70840">
      <w:pPr>
        <w:pStyle w:val="BodyTextLeft"/>
      </w:pPr>
      <w:r w:rsidRPr="00510AD0">
        <w:t xml:space="preserve">Seller hereby certifies and represents to Buyer, as of the date set forth below, that with regard to the Project, Seller is following all the rules set forth in </w:t>
      </w:r>
      <w:bookmarkStart w:id="939" w:name="DocXTextRef426"/>
      <w:r w:rsidRPr="00510AD0">
        <w:t>Appendix A</w:t>
      </w:r>
      <w:bookmarkEnd w:id="939"/>
      <w:r w:rsidRPr="00510AD0">
        <w:t xml:space="preserve"> of the MUA Decision.</w:t>
      </w:r>
    </w:p>
    <w:p w14:paraId="6020C118" w14:textId="77777777" w:rsidR="0055205C" w:rsidRPr="00510AD0" w:rsidRDefault="0055205C" w:rsidP="00A70840">
      <w:pPr>
        <w:pStyle w:val="BodyTextLeft"/>
      </w:pPr>
      <w:r w:rsidRPr="00510AD0">
        <w:t>EXECUTED by SELLER this ________ day of _____________, 20__.</w:t>
      </w:r>
    </w:p>
    <w:tbl>
      <w:tblPr>
        <w:tblW w:w="4755" w:type="dxa"/>
        <w:tblLayout w:type="fixed"/>
        <w:tblLook w:val="00A0" w:firstRow="1" w:lastRow="0" w:firstColumn="1" w:lastColumn="0" w:noHBand="0" w:noVBand="0"/>
      </w:tblPr>
      <w:tblGrid>
        <w:gridCol w:w="1260"/>
        <w:gridCol w:w="3495"/>
      </w:tblGrid>
      <w:tr w:rsidR="0055205C" w:rsidRPr="00510AD0" w14:paraId="08FFA9D5" w14:textId="77777777" w:rsidTr="004614C2">
        <w:tc>
          <w:tcPr>
            <w:tcW w:w="4755" w:type="dxa"/>
            <w:gridSpan w:val="2"/>
            <w:vAlign w:val="bottom"/>
          </w:tcPr>
          <w:p w14:paraId="639C94A7" w14:textId="77777777" w:rsidR="0055205C" w:rsidRPr="00510AD0" w:rsidRDefault="0055205C" w:rsidP="00A70840">
            <w:pPr>
              <w:keepNext/>
              <w:spacing w:before="120"/>
            </w:pPr>
          </w:p>
        </w:tc>
      </w:tr>
      <w:tr w:rsidR="0055205C" w:rsidRPr="00510AD0" w14:paraId="55014089" w14:textId="77777777" w:rsidTr="00A70840">
        <w:trPr>
          <w:trHeight w:val="288"/>
        </w:trPr>
        <w:tc>
          <w:tcPr>
            <w:tcW w:w="1260" w:type="dxa"/>
            <w:vAlign w:val="bottom"/>
          </w:tcPr>
          <w:p w14:paraId="5322F7B7" w14:textId="77777777" w:rsidR="0055205C" w:rsidRPr="00510AD0" w:rsidRDefault="0055205C" w:rsidP="00A70840">
            <w:pPr>
              <w:keepNext/>
              <w:jc w:val="right"/>
            </w:pPr>
            <w:r w:rsidRPr="00510AD0">
              <w:t>Signature:</w:t>
            </w:r>
          </w:p>
        </w:tc>
        <w:tc>
          <w:tcPr>
            <w:tcW w:w="3495" w:type="dxa"/>
            <w:tcBorders>
              <w:bottom w:val="single" w:sz="4" w:space="0" w:color="auto"/>
            </w:tcBorders>
            <w:vAlign w:val="bottom"/>
          </w:tcPr>
          <w:p w14:paraId="7F860F2D" w14:textId="77777777" w:rsidR="0055205C" w:rsidRPr="00510AD0" w:rsidRDefault="0055205C" w:rsidP="00A70840">
            <w:pPr>
              <w:keepNext/>
            </w:pPr>
          </w:p>
        </w:tc>
      </w:tr>
      <w:tr w:rsidR="0055205C" w:rsidRPr="00510AD0" w14:paraId="63056DCC" w14:textId="77777777" w:rsidTr="00A70840">
        <w:trPr>
          <w:trHeight w:val="288"/>
        </w:trPr>
        <w:tc>
          <w:tcPr>
            <w:tcW w:w="1260" w:type="dxa"/>
            <w:vAlign w:val="bottom"/>
          </w:tcPr>
          <w:p w14:paraId="2C15A61B" w14:textId="77777777" w:rsidR="0055205C" w:rsidRPr="00510AD0" w:rsidRDefault="0055205C" w:rsidP="00A70840">
            <w:pPr>
              <w:keepNext/>
              <w:jc w:val="right"/>
            </w:pPr>
            <w:r w:rsidRPr="00510AD0">
              <w:t>Name:</w:t>
            </w:r>
          </w:p>
        </w:tc>
        <w:tc>
          <w:tcPr>
            <w:tcW w:w="3495" w:type="dxa"/>
            <w:tcBorders>
              <w:top w:val="single" w:sz="4" w:space="0" w:color="auto"/>
              <w:bottom w:val="single" w:sz="4" w:space="0" w:color="auto"/>
            </w:tcBorders>
            <w:vAlign w:val="bottom"/>
          </w:tcPr>
          <w:p w14:paraId="55922795" w14:textId="77777777" w:rsidR="0055205C" w:rsidRPr="00510AD0" w:rsidRDefault="0055205C" w:rsidP="00A70840">
            <w:pPr>
              <w:keepNext/>
            </w:pPr>
          </w:p>
        </w:tc>
      </w:tr>
      <w:tr w:rsidR="0055205C" w:rsidRPr="00510AD0" w14:paraId="7C10D0CF" w14:textId="77777777" w:rsidTr="00A70840">
        <w:trPr>
          <w:trHeight w:val="288"/>
        </w:trPr>
        <w:tc>
          <w:tcPr>
            <w:tcW w:w="1260" w:type="dxa"/>
            <w:vAlign w:val="bottom"/>
          </w:tcPr>
          <w:p w14:paraId="62520FD0" w14:textId="77777777" w:rsidR="0055205C" w:rsidRPr="00510AD0" w:rsidRDefault="0055205C" w:rsidP="00A70840">
            <w:pPr>
              <w:jc w:val="right"/>
            </w:pPr>
            <w:r w:rsidRPr="00510AD0">
              <w:t>Title:</w:t>
            </w:r>
          </w:p>
        </w:tc>
        <w:tc>
          <w:tcPr>
            <w:tcW w:w="3495" w:type="dxa"/>
            <w:tcBorders>
              <w:top w:val="single" w:sz="4" w:space="0" w:color="auto"/>
              <w:bottom w:val="single" w:sz="4" w:space="0" w:color="auto"/>
            </w:tcBorders>
            <w:vAlign w:val="bottom"/>
          </w:tcPr>
          <w:p w14:paraId="01357D33" w14:textId="77777777" w:rsidR="0055205C" w:rsidRPr="00510AD0" w:rsidRDefault="0055205C" w:rsidP="00A70840"/>
        </w:tc>
      </w:tr>
    </w:tbl>
    <w:p w14:paraId="2C2799C0" w14:textId="77777777" w:rsidR="0055205C" w:rsidRPr="00510AD0" w:rsidRDefault="0055205C" w:rsidP="0037142C">
      <w:pPr>
        <w:pStyle w:val="BodyTextLeft"/>
        <w:sectPr w:rsidR="0055205C" w:rsidRPr="00510AD0" w:rsidSect="0070095F">
          <w:headerReference w:type="default" r:id="rId55"/>
          <w:footerReference w:type="default" r:id="rId56"/>
          <w:pgSz w:w="12240" w:h="15840"/>
          <w:pgMar w:top="1440" w:right="1440" w:bottom="1440" w:left="1440" w:header="432" w:footer="432" w:gutter="0"/>
          <w:pgNumType w:start="1"/>
          <w:cols w:space="720"/>
          <w:docGrid w:linePitch="360"/>
        </w:sectPr>
      </w:pPr>
    </w:p>
    <w:p w14:paraId="06422635" w14:textId="543E00F0" w:rsidR="0055205C" w:rsidRPr="00510AD0" w:rsidRDefault="0055205C" w:rsidP="00027CC8">
      <w:pPr>
        <w:pStyle w:val="Appendix"/>
      </w:pPr>
      <w:bookmarkStart w:id="940" w:name="_Hlk53496065"/>
      <w:r w:rsidRPr="00510AD0">
        <w:lastRenderedPageBreak/>
        <w:t>APPENDIX XIII</w:t>
      </w:r>
      <w:r w:rsidRPr="00510AD0">
        <w:br/>
      </w:r>
      <w:r w:rsidRPr="00510AD0">
        <w:br/>
        <w:t>EXAMPLE OF ENERGY SETTLEMENT CALCULATION</w:t>
      </w:r>
      <w:r w:rsidR="00831311" w:rsidRPr="00510AD0">
        <w:rPr>
          <w:rStyle w:val="FootnoteReference"/>
        </w:rPr>
        <w:footnoteReference w:id="60"/>
      </w:r>
    </w:p>
    <w:p w14:paraId="32C06F5C" w14:textId="77777777" w:rsidR="0055205C" w:rsidRPr="00510AD0" w:rsidRDefault="0055205C" w:rsidP="00A70840">
      <w:pPr>
        <w:pStyle w:val="BodyTextLeft"/>
      </w:pPr>
      <w:r w:rsidRPr="00510AD0">
        <w:t>This Appendix illustrates how the Energy Settlement would be calculated for one day. As the Energy Settlement calculation is computed on a monthly basis, this calculation would be repeated for every day of the month using that day’s Day-Ahead Price. The following assumptions are used for this Energy Settlement example:</w:t>
      </w:r>
    </w:p>
    <w:p w14:paraId="1B7CE76D" w14:textId="77777777" w:rsidR="0055205C" w:rsidRPr="00510AD0" w:rsidRDefault="0055205C" w:rsidP="0037142C">
      <w:pPr>
        <w:pStyle w:val="BodyText"/>
        <w:numPr>
          <w:ilvl w:val="0"/>
          <w:numId w:val="29"/>
        </w:numPr>
      </w:pPr>
      <w:r w:rsidRPr="00510AD0">
        <w:t xml:space="preserve">Day: July 1 </w:t>
      </w:r>
    </w:p>
    <w:p w14:paraId="21C7139F" w14:textId="77777777" w:rsidR="0055205C" w:rsidRPr="00510AD0" w:rsidRDefault="0055205C" w:rsidP="0037142C">
      <w:pPr>
        <w:pStyle w:val="BodyText"/>
        <w:numPr>
          <w:ilvl w:val="0"/>
          <w:numId w:val="29"/>
        </w:numPr>
      </w:pPr>
      <w:r w:rsidRPr="00510AD0">
        <w:t>round-trip efficiency of the Project: 75%</w:t>
      </w:r>
    </w:p>
    <w:p w14:paraId="6D487820" w14:textId="77777777" w:rsidR="0055205C" w:rsidRPr="00510AD0" w:rsidRDefault="0055205C" w:rsidP="0037142C">
      <w:pPr>
        <w:pStyle w:val="BodyText"/>
        <w:numPr>
          <w:ilvl w:val="0"/>
          <w:numId w:val="29"/>
        </w:numPr>
      </w:pPr>
      <w:r w:rsidRPr="00510AD0">
        <w:t>Variable O&amp;M: $10.00/MWh</w:t>
      </w:r>
    </w:p>
    <w:p w14:paraId="10355AC4" w14:textId="77777777" w:rsidR="0055205C" w:rsidRPr="00510AD0" w:rsidRDefault="0055205C" w:rsidP="0037142C">
      <w:pPr>
        <w:pStyle w:val="BodyText"/>
        <w:numPr>
          <w:ilvl w:val="0"/>
          <w:numId w:val="29"/>
        </w:numPr>
      </w:pPr>
      <w:r w:rsidRPr="00510AD0">
        <w:t>duration of the Project: 4 hours</w:t>
      </w:r>
    </w:p>
    <w:p w14:paraId="69E7BD7C" w14:textId="77777777" w:rsidR="0055205C" w:rsidRPr="00510AD0" w:rsidRDefault="0055205C" w:rsidP="00E907E0">
      <w:pPr>
        <w:spacing w:after="240"/>
      </w:pPr>
      <w:r w:rsidRPr="00510AD0">
        <w:rPr>
          <w:b/>
          <w:bCs/>
          <w:u w:val="single"/>
        </w:rPr>
        <w:t>Table 1: Day-Ahead LMP Prices for July 1</w:t>
      </w:r>
    </w:p>
    <w:tbl>
      <w:tblPr>
        <w:tblStyle w:val="TableGrid"/>
        <w:tblW w:w="9623" w:type="dxa"/>
        <w:tblInd w:w="-5" w:type="dxa"/>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55205C" w:rsidRPr="00510AD0" w14:paraId="236DD15C" w14:textId="77777777" w:rsidTr="00E80704">
        <w:trPr>
          <w:trHeight w:val="368"/>
        </w:trPr>
        <w:tc>
          <w:tcPr>
            <w:tcW w:w="1619" w:type="dxa"/>
            <w:vAlign w:val="bottom"/>
          </w:tcPr>
          <w:p w14:paraId="7A5D254B" w14:textId="77777777" w:rsidR="0055205C" w:rsidRPr="00510AD0" w:rsidRDefault="0055205C" w:rsidP="00A70840">
            <w:pPr>
              <w:rPr>
                <w:rFonts w:ascii="Times New Roman" w:hAnsi="Times New Roman" w:cs="Times New Roman"/>
                <w:b/>
              </w:rPr>
            </w:pPr>
            <w:r w:rsidRPr="00510AD0">
              <w:rPr>
                <w:rFonts w:ascii="Times New Roman" w:hAnsi="Times New Roman" w:cs="Times New Roman"/>
                <w:b/>
              </w:rPr>
              <w:t>Hour Ending</w:t>
            </w:r>
          </w:p>
        </w:tc>
        <w:tc>
          <w:tcPr>
            <w:tcW w:w="667" w:type="dxa"/>
            <w:vAlign w:val="bottom"/>
          </w:tcPr>
          <w:p w14:paraId="626CB9FC"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w:t>
            </w:r>
          </w:p>
        </w:tc>
        <w:tc>
          <w:tcPr>
            <w:tcW w:w="667" w:type="dxa"/>
            <w:vAlign w:val="bottom"/>
          </w:tcPr>
          <w:p w14:paraId="0027EF9D"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w:t>
            </w:r>
          </w:p>
        </w:tc>
        <w:tc>
          <w:tcPr>
            <w:tcW w:w="667" w:type="dxa"/>
            <w:vAlign w:val="bottom"/>
          </w:tcPr>
          <w:p w14:paraId="171FFF34"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3</w:t>
            </w:r>
          </w:p>
        </w:tc>
        <w:tc>
          <w:tcPr>
            <w:tcW w:w="667" w:type="dxa"/>
            <w:vAlign w:val="bottom"/>
          </w:tcPr>
          <w:p w14:paraId="418E24F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4</w:t>
            </w:r>
          </w:p>
        </w:tc>
        <w:tc>
          <w:tcPr>
            <w:tcW w:w="667" w:type="dxa"/>
            <w:vAlign w:val="bottom"/>
          </w:tcPr>
          <w:p w14:paraId="052CECFC"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5</w:t>
            </w:r>
          </w:p>
        </w:tc>
        <w:tc>
          <w:tcPr>
            <w:tcW w:w="667" w:type="dxa"/>
            <w:vAlign w:val="bottom"/>
          </w:tcPr>
          <w:p w14:paraId="278C2FA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6</w:t>
            </w:r>
          </w:p>
        </w:tc>
        <w:tc>
          <w:tcPr>
            <w:tcW w:w="667" w:type="dxa"/>
            <w:vAlign w:val="bottom"/>
          </w:tcPr>
          <w:p w14:paraId="480CE4AC"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7</w:t>
            </w:r>
          </w:p>
        </w:tc>
        <w:tc>
          <w:tcPr>
            <w:tcW w:w="667" w:type="dxa"/>
            <w:vAlign w:val="bottom"/>
          </w:tcPr>
          <w:p w14:paraId="31AD6D82"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8</w:t>
            </w:r>
          </w:p>
        </w:tc>
        <w:tc>
          <w:tcPr>
            <w:tcW w:w="667" w:type="dxa"/>
            <w:vAlign w:val="bottom"/>
          </w:tcPr>
          <w:p w14:paraId="654ED19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9</w:t>
            </w:r>
          </w:p>
        </w:tc>
        <w:tc>
          <w:tcPr>
            <w:tcW w:w="667" w:type="dxa"/>
            <w:vAlign w:val="bottom"/>
          </w:tcPr>
          <w:p w14:paraId="1BCB84FE"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10</w:t>
            </w:r>
          </w:p>
        </w:tc>
        <w:tc>
          <w:tcPr>
            <w:tcW w:w="667" w:type="dxa"/>
            <w:vAlign w:val="bottom"/>
          </w:tcPr>
          <w:p w14:paraId="69B9D6C4"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11</w:t>
            </w:r>
          </w:p>
        </w:tc>
        <w:tc>
          <w:tcPr>
            <w:tcW w:w="667" w:type="dxa"/>
            <w:vAlign w:val="bottom"/>
          </w:tcPr>
          <w:p w14:paraId="19711CE2"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12</w:t>
            </w:r>
          </w:p>
        </w:tc>
      </w:tr>
      <w:tr w:rsidR="0055205C" w:rsidRPr="00510AD0" w14:paraId="68A48EDD" w14:textId="77777777" w:rsidTr="00E80704">
        <w:trPr>
          <w:trHeight w:val="528"/>
        </w:trPr>
        <w:tc>
          <w:tcPr>
            <w:tcW w:w="1619" w:type="dxa"/>
            <w:vAlign w:val="bottom"/>
          </w:tcPr>
          <w:p w14:paraId="4705864C" w14:textId="77777777" w:rsidR="0055205C" w:rsidRPr="00510AD0" w:rsidRDefault="0055205C" w:rsidP="00A70840">
            <w:pPr>
              <w:rPr>
                <w:rFonts w:ascii="Times New Roman" w:hAnsi="Times New Roman" w:cs="Times New Roman"/>
                <w:b/>
              </w:rPr>
            </w:pPr>
            <w:r w:rsidRPr="00510AD0">
              <w:rPr>
                <w:rFonts w:ascii="Times New Roman" w:hAnsi="Times New Roman" w:cs="Times New Roman"/>
                <w:b/>
              </w:rPr>
              <w:t>Day-Ahead Price ($/MWh)</w:t>
            </w:r>
          </w:p>
        </w:tc>
        <w:tc>
          <w:tcPr>
            <w:tcW w:w="667" w:type="dxa"/>
            <w:vAlign w:val="bottom"/>
          </w:tcPr>
          <w:p w14:paraId="39FDDD36"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$21</w:t>
            </w:r>
          </w:p>
        </w:tc>
        <w:tc>
          <w:tcPr>
            <w:tcW w:w="667" w:type="dxa"/>
            <w:vAlign w:val="bottom"/>
          </w:tcPr>
          <w:p w14:paraId="5B1C4505"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$21</w:t>
            </w:r>
          </w:p>
        </w:tc>
        <w:tc>
          <w:tcPr>
            <w:tcW w:w="667" w:type="dxa"/>
            <w:vAlign w:val="bottom"/>
          </w:tcPr>
          <w:p w14:paraId="6690B9F0"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$22</w:t>
            </w:r>
          </w:p>
        </w:tc>
        <w:tc>
          <w:tcPr>
            <w:tcW w:w="667" w:type="dxa"/>
            <w:vAlign w:val="bottom"/>
          </w:tcPr>
          <w:p w14:paraId="593A2652"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$23</w:t>
            </w:r>
          </w:p>
        </w:tc>
        <w:tc>
          <w:tcPr>
            <w:tcW w:w="667" w:type="dxa"/>
            <w:vAlign w:val="bottom"/>
          </w:tcPr>
          <w:p w14:paraId="26DCF47A"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$25</w:t>
            </w:r>
          </w:p>
        </w:tc>
        <w:tc>
          <w:tcPr>
            <w:tcW w:w="667" w:type="dxa"/>
            <w:vAlign w:val="bottom"/>
          </w:tcPr>
          <w:p w14:paraId="059BBA40"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$28</w:t>
            </w:r>
          </w:p>
        </w:tc>
        <w:tc>
          <w:tcPr>
            <w:tcW w:w="667" w:type="dxa"/>
            <w:vAlign w:val="bottom"/>
          </w:tcPr>
          <w:p w14:paraId="4244D921"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$32</w:t>
            </w:r>
          </w:p>
        </w:tc>
        <w:tc>
          <w:tcPr>
            <w:tcW w:w="667" w:type="dxa"/>
            <w:vAlign w:val="bottom"/>
          </w:tcPr>
          <w:p w14:paraId="664AA373"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$26</w:t>
            </w:r>
          </w:p>
        </w:tc>
        <w:tc>
          <w:tcPr>
            <w:tcW w:w="667" w:type="dxa"/>
            <w:vAlign w:val="bottom"/>
          </w:tcPr>
          <w:p w14:paraId="586D5229"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$15</w:t>
            </w:r>
          </w:p>
        </w:tc>
        <w:tc>
          <w:tcPr>
            <w:tcW w:w="667" w:type="dxa"/>
            <w:vAlign w:val="bottom"/>
          </w:tcPr>
          <w:p w14:paraId="74F5D17F"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$18</w:t>
            </w:r>
          </w:p>
        </w:tc>
        <w:tc>
          <w:tcPr>
            <w:tcW w:w="667" w:type="dxa"/>
            <w:vAlign w:val="bottom"/>
          </w:tcPr>
          <w:p w14:paraId="1572F6D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$18</w:t>
            </w:r>
          </w:p>
        </w:tc>
        <w:tc>
          <w:tcPr>
            <w:tcW w:w="667" w:type="dxa"/>
            <w:vAlign w:val="bottom"/>
          </w:tcPr>
          <w:p w14:paraId="767459C3"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$12</w:t>
            </w:r>
          </w:p>
        </w:tc>
      </w:tr>
    </w:tbl>
    <w:p w14:paraId="0C09AC66" w14:textId="77777777" w:rsidR="0055205C" w:rsidRPr="00510AD0" w:rsidRDefault="0055205C" w:rsidP="00A70840"/>
    <w:tbl>
      <w:tblPr>
        <w:tblStyle w:val="TableGrid"/>
        <w:tblW w:w="9609" w:type="dxa"/>
        <w:tblInd w:w="-5" w:type="dxa"/>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55205C" w:rsidRPr="00510AD0" w14:paraId="638DDD2C" w14:textId="77777777" w:rsidTr="00E80704">
        <w:trPr>
          <w:trHeight w:val="332"/>
        </w:trPr>
        <w:tc>
          <w:tcPr>
            <w:tcW w:w="1617" w:type="dxa"/>
            <w:vAlign w:val="bottom"/>
          </w:tcPr>
          <w:p w14:paraId="6A277F0C" w14:textId="77777777" w:rsidR="0055205C" w:rsidRPr="00510AD0" w:rsidRDefault="0055205C" w:rsidP="00A70840">
            <w:pPr>
              <w:rPr>
                <w:rFonts w:ascii="Times New Roman" w:hAnsi="Times New Roman" w:cs="Times New Roman"/>
                <w:b/>
              </w:rPr>
            </w:pPr>
            <w:r w:rsidRPr="00510AD0">
              <w:rPr>
                <w:rFonts w:ascii="Times New Roman" w:hAnsi="Times New Roman" w:cs="Times New Roman"/>
                <w:b/>
              </w:rPr>
              <w:t>Hour Ending</w:t>
            </w:r>
          </w:p>
        </w:tc>
        <w:tc>
          <w:tcPr>
            <w:tcW w:w="666" w:type="dxa"/>
            <w:vAlign w:val="bottom"/>
          </w:tcPr>
          <w:p w14:paraId="0841DFD5"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13</w:t>
            </w:r>
          </w:p>
        </w:tc>
        <w:tc>
          <w:tcPr>
            <w:tcW w:w="666" w:type="dxa"/>
            <w:vAlign w:val="bottom"/>
          </w:tcPr>
          <w:p w14:paraId="62349424"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14</w:t>
            </w:r>
          </w:p>
        </w:tc>
        <w:tc>
          <w:tcPr>
            <w:tcW w:w="666" w:type="dxa"/>
            <w:vAlign w:val="bottom"/>
          </w:tcPr>
          <w:p w14:paraId="162417E6"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15</w:t>
            </w:r>
          </w:p>
        </w:tc>
        <w:tc>
          <w:tcPr>
            <w:tcW w:w="666" w:type="dxa"/>
            <w:vAlign w:val="bottom"/>
          </w:tcPr>
          <w:p w14:paraId="01B59ED6"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16</w:t>
            </w:r>
          </w:p>
        </w:tc>
        <w:tc>
          <w:tcPr>
            <w:tcW w:w="666" w:type="dxa"/>
            <w:vAlign w:val="bottom"/>
          </w:tcPr>
          <w:p w14:paraId="2F9B27C6"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17</w:t>
            </w:r>
          </w:p>
        </w:tc>
        <w:tc>
          <w:tcPr>
            <w:tcW w:w="666" w:type="dxa"/>
            <w:vAlign w:val="bottom"/>
          </w:tcPr>
          <w:p w14:paraId="6E519AF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18</w:t>
            </w:r>
          </w:p>
        </w:tc>
        <w:tc>
          <w:tcPr>
            <w:tcW w:w="666" w:type="dxa"/>
            <w:vAlign w:val="bottom"/>
          </w:tcPr>
          <w:p w14:paraId="4BB2E3E0"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19</w:t>
            </w:r>
          </w:p>
        </w:tc>
        <w:tc>
          <w:tcPr>
            <w:tcW w:w="666" w:type="dxa"/>
            <w:vAlign w:val="bottom"/>
          </w:tcPr>
          <w:p w14:paraId="28DCE2D1"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20</w:t>
            </w:r>
          </w:p>
        </w:tc>
        <w:tc>
          <w:tcPr>
            <w:tcW w:w="666" w:type="dxa"/>
            <w:vAlign w:val="bottom"/>
          </w:tcPr>
          <w:p w14:paraId="3CF6289E"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21</w:t>
            </w:r>
          </w:p>
        </w:tc>
        <w:tc>
          <w:tcPr>
            <w:tcW w:w="666" w:type="dxa"/>
            <w:vAlign w:val="bottom"/>
          </w:tcPr>
          <w:p w14:paraId="4A81142F"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22</w:t>
            </w:r>
          </w:p>
        </w:tc>
        <w:tc>
          <w:tcPr>
            <w:tcW w:w="666" w:type="dxa"/>
            <w:vAlign w:val="bottom"/>
          </w:tcPr>
          <w:p w14:paraId="54F0204C"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23</w:t>
            </w:r>
          </w:p>
        </w:tc>
        <w:tc>
          <w:tcPr>
            <w:tcW w:w="666" w:type="dxa"/>
            <w:vAlign w:val="bottom"/>
          </w:tcPr>
          <w:p w14:paraId="1B13D98E"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24</w:t>
            </w:r>
          </w:p>
        </w:tc>
      </w:tr>
      <w:tr w:rsidR="0055205C" w:rsidRPr="00510AD0" w14:paraId="4E421E68" w14:textId="77777777" w:rsidTr="00E80704">
        <w:trPr>
          <w:trHeight w:val="575"/>
        </w:trPr>
        <w:tc>
          <w:tcPr>
            <w:tcW w:w="1617" w:type="dxa"/>
            <w:vAlign w:val="bottom"/>
          </w:tcPr>
          <w:p w14:paraId="546AD0DA" w14:textId="77777777" w:rsidR="0055205C" w:rsidRPr="00510AD0" w:rsidRDefault="0055205C" w:rsidP="00A70840">
            <w:pPr>
              <w:rPr>
                <w:rFonts w:ascii="Times New Roman" w:hAnsi="Times New Roman" w:cs="Times New Roman"/>
                <w:b/>
              </w:rPr>
            </w:pPr>
            <w:r w:rsidRPr="00510AD0">
              <w:rPr>
                <w:rFonts w:ascii="Times New Roman" w:hAnsi="Times New Roman" w:cs="Times New Roman"/>
                <w:b/>
              </w:rPr>
              <w:t>Day-Ahead Price ($/MWh)</w:t>
            </w:r>
          </w:p>
        </w:tc>
        <w:tc>
          <w:tcPr>
            <w:tcW w:w="666" w:type="dxa"/>
            <w:vAlign w:val="bottom"/>
          </w:tcPr>
          <w:p w14:paraId="20DB1C4E"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$12</w:t>
            </w:r>
          </w:p>
        </w:tc>
        <w:tc>
          <w:tcPr>
            <w:tcW w:w="666" w:type="dxa"/>
            <w:vAlign w:val="bottom"/>
          </w:tcPr>
          <w:p w14:paraId="10D99F66"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$12</w:t>
            </w:r>
          </w:p>
        </w:tc>
        <w:tc>
          <w:tcPr>
            <w:tcW w:w="666" w:type="dxa"/>
            <w:vAlign w:val="bottom"/>
          </w:tcPr>
          <w:p w14:paraId="07C4D55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$16</w:t>
            </w:r>
          </w:p>
        </w:tc>
        <w:tc>
          <w:tcPr>
            <w:tcW w:w="666" w:type="dxa"/>
            <w:vAlign w:val="bottom"/>
          </w:tcPr>
          <w:p w14:paraId="25391072"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$20</w:t>
            </w:r>
          </w:p>
        </w:tc>
        <w:tc>
          <w:tcPr>
            <w:tcW w:w="666" w:type="dxa"/>
            <w:vAlign w:val="bottom"/>
          </w:tcPr>
          <w:p w14:paraId="1938B4D7"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$18</w:t>
            </w:r>
          </w:p>
        </w:tc>
        <w:tc>
          <w:tcPr>
            <w:tcW w:w="666" w:type="dxa"/>
            <w:vAlign w:val="bottom"/>
          </w:tcPr>
          <w:p w14:paraId="2F7E6443"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$22</w:t>
            </w:r>
          </w:p>
        </w:tc>
        <w:tc>
          <w:tcPr>
            <w:tcW w:w="666" w:type="dxa"/>
            <w:vAlign w:val="bottom"/>
          </w:tcPr>
          <w:p w14:paraId="1ED9351C"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$31</w:t>
            </w:r>
          </w:p>
        </w:tc>
        <w:tc>
          <w:tcPr>
            <w:tcW w:w="666" w:type="dxa"/>
            <w:vAlign w:val="bottom"/>
          </w:tcPr>
          <w:p w14:paraId="0DD733B0"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$47</w:t>
            </w:r>
          </w:p>
        </w:tc>
        <w:tc>
          <w:tcPr>
            <w:tcW w:w="666" w:type="dxa"/>
            <w:vAlign w:val="bottom"/>
          </w:tcPr>
          <w:p w14:paraId="13E6A97A"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$41</w:t>
            </w:r>
          </w:p>
        </w:tc>
        <w:tc>
          <w:tcPr>
            <w:tcW w:w="666" w:type="dxa"/>
            <w:vAlign w:val="bottom"/>
          </w:tcPr>
          <w:p w14:paraId="13006C30"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$35</w:t>
            </w:r>
          </w:p>
        </w:tc>
        <w:tc>
          <w:tcPr>
            <w:tcW w:w="666" w:type="dxa"/>
            <w:vAlign w:val="bottom"/>
          </w:tcPr>
          <w:p w14:paraId="12433020"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$32</w:t>
            </w:r>
          </w:p>
        </w:tc>
        <w:tc>
          <w:tcPr>
            <w:tcW w:w="666" w:type="dxa"/>
            <w:vAlign w:val="bottom"/>
          </w:tcPr>
          <w:p w14:paraId="369A086D" w14:textId="77777777" w:rsidR="0055205C" w:rsidRPr="00510AD0" w:rsidRDefault="0055205C" w:rsidP="00A70840">
            <w:pPr>
              <w:jc w:val="center"/>
              <w:rPr>
                <w:rFonts w:ascii="Times New Roman" w:hAnsi="Times New Roman" w:cs="Times New Roman"/>
              </w:rPr>
            </w:pPr>
            <w:r w:rsidRPr="00510AD0">
              <w:rPr>
                <w:rFonts w:ascii="Times New Roman" w:hAnsi="Times New Roman" w:cs="Times New Roman"/>
              </w:rPr>
              <w:t>$28</w:t>
            </w:r>
          </w:p>
        </w:tc>
      </w:tr>
    </w:tbl>
    <w:p w14:paraId="59954955" w14:textId="77777777" w:rsidR="0055205C" w:rsidRPr="00510AD0" w:rsidRDefault="0055205C" w:rsidP="00E907E0">
      <w:pPr>
        <w:spacing w:after="240"/>
      </w:pPr>
    </w:p>
    <w:p w14:paraId="4F2B1BA4" w14:textId="77777777" w:rsidR="0055205C" w:rsidRPr="00510AD0" w:rsidRDefault="0055205C" w:rsidP="0037142C">
      <w:pPr>
        <w:pStyle w:val="BodyTextLeft"/>
      </w:pPr>
      <w:r w:rsidRPr="00510AD0">
        <w:t>Largest 4 Day-Ahead Prices on July 1, ranked highest to lowest:</w:t>
      </w:r>
    </w:p>
    <w:p w14:paraId="43D053A5" w14:textId="77777777" w:rsidR="0055205C" w:rsidRPr="00510AD0" w:rsidRDefault="0055205C" w:rsidP="00E907E0">
      <w:pPr>
        <w:pStyle w:val="ListParagraph"/>
        <w:numPr>
          <w:ilvl w:val="0"/>
          <w:numId w:val="2"/>
        </w:numPr>
        <w:spacing w:after="240"/>
        <w:contextualSpacing/>
        <w:rPr>
          <w:rFonts w:ascii="Times New Roman" w:hAnsi="Times New Roman" w:cs="Times New Roman"/>
        </w:rPr>
      </w:pPr>
      <w:r w:rsidRPr="00510AD0">
        <w:rPr>
          <w:rFonts w:ascii="Times New Roman" w:hAnsi="Times New Roman" w:cs="Times New Roman"/>
        </w:rPr>
        <w:t>$47.00/MWh</w:t>
      </w:r>
    </w:p>
    <w:p w14:paraId="2A25BE74" w14:textId="77777777" w:rsidR="0055205C" w:rsidRPr="00510AD0" w:rsidRDefault="0055205C" w:rsidP="00E907E0">
      <w:pPr>
        <w:pStyle w:val="ListParagraph"/>
        <w:numPr>
          <w:ilvl w:val="0"/>
          <w:numId w:val="2"/>
        </w:numPr>
        <w:spacing w:after="240"/>
        <w:contextualSpacing/>
        <w:rPr>
          <w:rFonts w:ascii="Times New Roman" w:hAnsi="Times New Roman" w:cs="Times New Roman"/>
        </w:rPr>
      </w:pPr>
      <w:r w:rsidRPr="00510AD0">
        <w:rPr>
          <w:rFonts w:ascii="Times New Roman" w:hAnsi="Times New Roman" w:cs="Times New Roman"/>
        </w:rPr>
        <w:t>$41.00/MWh</w:t>
      </w:r>
    </w:p>
    <w:p w14:paraId="050835FF" w14:textId="77777777" w:rsidR="0055205C" w:rsidRPr="00510AD0" w:rsidRDefault="0055205C" w:rsidP="00E907E0">
      <w:pPr>
        <w:pStyle w:val="ListParagraph"/>
        <w:numPr>
          <w:ilvl w:val="0"/>
          <w:numId w:val="2"/>
        </w:numPr>
        <w:spacing w:after="240"/>
        <w:contextualSpacing/>
        <w:rPr>
          <w:rFonts w:ascii="Times New Roman" w:hAnsi="Times New Roman" w:cs="Times New Roman"/>
        </w:rPr>
      </w:pPr>
      <w:r w:rsidRPr="00510AD0">
        <w:rPr>
          <w:rFonts w:ascii="Times New Roman" w:hAnsi="Times New Roman" w:cs="Times New Roman"/>
        </w:rPr>
        <w:t>$35.00/MWh</w:t>
      </w:r>
    </w:p>
    <w:p w14:paraId="270C208D" w14:textId="77777777" w:rsidR="0055205C" w:rsidRPr="00510AD0" w:rsidRDefault="0055205C" w:rsidP="00E907E0">
      <w:pPr>
        <w:pStyle w:val="ListParagraph"/>
        <w:numPr>
          <w:ilvl w:val="0"/>
          <w:numId w:val="2"/>
        </w:numPr>
        <w:spacing w:after="240"/>
        <w:contextualSpacing/>
        <w:rPr>
          <w:rFonts w:ascii="Times New Roman" w:hAnsi="Times New Roman" w:cs="Times New Roman"/>
        </w:rPr>
      </w:pPr>
      <w:r w:rsidRPr="00510AD0">
        <w:rPr>
          <w:rFonts w:ascii="Times New Roman" w:hAnsi="Times New Roman" w:cs="Times New Roman"/>
        </w:rPr>
        <w:t xml:space="preserve">$32.00/MWh </w:t>
      </w:r>
    </w:p>
    <w:p w14:paraId="17497B72" w14:textId="77777777" w:rsidR="0055205C" w:rsidRPr="00510AD0" w:rsidRDefault="0055205C" w:rsidP="00B52660">
      <w:pPr>
        <w:pStyle w:val="BodyTextLeft"/>
      </w:pPr>
      <w:r w:rsidRPr="00510AD0">
        <w:rPr>
          <w:i/>
          <w:iCs/>
        </w:rPr>
        <w:t xml:space="preserve">Note: 4 hours is based on duration of the Project </w:t>
      </w:r>
    </w:p>
    <w:p w14:paraId="79117D0F" w14:textId="77777777" w:rsidR="0055205C" w:rsidRPr="00510AD0" w:rsidRDefault="0055205C" w:rsidP="00B52660">
      <w:pPr>
        <w:pStyle w:val="BodyTextLeft"/>
      </w:pPr>
      <w:r w:rsidRPr="00510AD0">
        <w:t>Smallest 6 Day-Ahead Prices on July 1, ranked lowest to highest:</w:t>
      </w:r>
    </w:p>
    <w:p w14:paraId="2EF78E94" w14:textId="77777777" w:rsidR="0055205C" w:rsidRPr="00510AD0" w:rsidRDefault="0055205C" w:rsidP="00E907E0">
      <w:pPr>
        <w:pStyle w:val="ListParagraph"/>
        <w:numPr>
          <w:ilvl w:val="0"/>
          <w:numId w:val="3"/>
        </w:numPr>
        <w:spacing w:after="240"/>
        <w:contextualSpacing/>
        <w:rPr>
          <w:rFonts w:ascii="Times New Roman" w:hAnsi="Times New Roman" w:cs="Times New Roman"/>
        </w:rPr>
      </w:pPr>
      <w:r w:rsidRPr="00510AD0">
        <w:rPr>
          <w:rFonts w:ascii="Times New Roman" w:hAnsi="Times New Roman" w:cs="Times New Roman"/>
        </w:rPr>
        <w:t xml:space="preserve">$12.00/MWh </w:t>
      </w:r>
    </w:p>
    <w:p w14:paraId="6A258D6B" w14:textId="77777777" w:rsidR="0055205C" w:rsidRPr="00510AD0" w:rsidRDefault="0055205C" w:rsidP="00E907E0">
      <w:pPr>
        <w:pStyle w:val="ListParagraph"/>
        <w:numPr>
          <w:ilvl w:val="0"/>
          <w:numId w:val="3"/>
        </w:numPr>
        <w:spacing w:after="240"/>
        <w:contextualSpacing/>
        <w:rPr>
          <w:rFonts w:ascii="Times New Roman" w:hAnsi="Times New Roman" w:cs="Times New Roman"/>
        </w:rPr>
      </w:pPr>
      <w:r w:rsidRPr="00510AD0">
        <w:rPr>
          <w:rFonts w:ascii="Times New Roman" w:hAnsi="Times New Roman" w:cs="Times New Roman"/>
        </w:rPr>
        <w:t>$12.00/MWh</w:t>
      </w:r>
    </w:p>
    <w:p w14:paraId="3DAF30EA" w14:textId="77777777" w:rsidR="0055205C" w:rsidRPr="00510AD0" w:rsidRDefault="0055205C" w:rsidP="00E907E0">
      <w:pPr>
        <w:pStyle w:val="ListParagraph"/>
        <w:numPr>
          <w:ilvl w:val="0"/>
          <w:numId w:val="3"/>
        </w:numPr>
        <w:spacing w:after="240"/>
        <w:contextualSpacing/>
        <w:rPr>
          <w:rFonts w:ascii="Times New Roman" w:hAnsi="Times New Roman" w:cs="Times New Roman"/>
        </w:rPr>
      </w:pPr>
      <w:r w:rsidRPr="00510AD0">
        <w:rPr>
          <w:rFonts w:ascii="Times New Roman" w:hAnsi="Times New Roman" w:cs="Times New Roman"/>
        </w:rPr>
        <w:t>$12.00/MWh</w:t>
      </w:r>
    </w:p>
    <w:p w14:paraId="04F46232" w14:textId="35AB2BAF" w:rsidR="0055205C" w:rsidRPr="00510AD0" w:rsidRDefault="0055205C" w:rsidP="00E907E0">
      <w:pPr>
        <w:pStyle w:val="ListParagraph"/>
        <w:numPr>
          <w:ilvl w:val="0"/>
          <w:numId w:val="3"/>
        </w:numPr>
        <w:spacing w:after="240"/>
        <w:contextualSpacing/>
        <w:rPr>
          <w:rFonts w:ascii="Times New Roman" w:hAnsi="Times New Roman" w:cs="Times New Roman"/>
        </w:rPr>
      </w:pPr>
      <w:r w:rsidRPr="00510AD0">
        <w:rPr>
          <w:rFonts w:ascii="Times New Roman" w:hAnsi="Times New Roman" w:cs="Times New Roman"/>
        </w:rPr>
        <w:lastRenderedPageBreak/>
        <w:t>$15.00/M</w:t>
      </w:r>
      <w:r w:rsidR="00D348C7" w:rsidRPr="00510AD0">
        <w:rPr>
          <w:rFonts w:ascii="Times New Roman" w:hAnsi="Times New Roman" w:cs="Times New Roman"/>
        </w:rPr>
        <w:t>Wh</w:t>
      </w:r>
    </w:p>
    <w:p w14:paraId="2E67BBD5" w14:textId="77777777" w:rsidR="0055205C" w:rsidRPr="00510AD0" w:rsidRDefault="0055205C" w:rsidP="00E907E0">
      <w:pPr>
        <w:pStyle w:val="ListParagraph"/>
        <w:numPr>
          <w:ilvl w:val="0"/>
          <w:numId w:val="3"/>
        </w:numPr>
        <w:spacing w:after="240"/>
        <w:contextualSpacing/>
        <w:rPr>
          <w:rFonts w:ascii="Times New Roman" w:hAnsi="Times New Roman" w:cs="Times New Roman"/>
        </w:rPr>
      </w:pPr>
      <w:r w:rsidRPr="00510AD0">
        <w:rPr>
          <w:rFonts w:ascii="Times New Roman" w:hAnsi="Times New Roman" w:cs="Times New Roman"/>
        </w:rPr>
        <w:t>$16.00/MWh</w:t>
      </w:r>
    </w:p>
    <w:p w14:paraId="5C9D9F89" w14:textId="77777777" w:rsidR="0055205C" w:rsidRPr="00510AD0" w:rsidRDefault="0055205C" w:rsidP="00E907E0">
      <w:pPr>
        <w:pStyle w:val="ListParagraph"/>
        <w:numPr>
          <w:ilvl w:val="0"/>
          <w:numId w:val="3"/>
        </w:numPr>
        <w:spacing w:after="240"/>
        <w:contextualSpacing/>
        <w:rPr>
          <w:rFonts w:ascii="Times New Roman" w:hAnsi="Times New Roman" w:cs="Times New Roman"/>
        </w:rPr>
      </w:pPr>
      <w:r w:rsidRPr="00510AD0">
        <w:rPr>
          <w:rFonts w:ascii="Times New Roman" w:hAnsi="Times New Roman" w:cs="Times New Roman"/>
        </w:rPr>
        <w:t>$18.00/MWh</w:t>
      </w:r>
    </w:p>
    <w:p w14:paraId="25FE3DB6" w14:textId="77777777" w:rsidR="0055205C" w:rsidRPr="00510AD0" w:rsidRDefault="0055205C" w:rsidP="00B52660">
      <w:pPr>
        <w:pStyle w:val="BodyTextLeft"/>
      </w:pPr>
      <w:r w:rsidRPr="00510AD0">
        <w:rPr>
          <w:i/>
          <w:iCs/>
        </w:rPr>
        <w:t>Note: 6 hours is based on duration of the Project (4 hours) plus 2 hours to account for round-trip efficiency</w:t>
      </w:r>
    </w:p>
    <w:p w14:paraId="25923B06" w14:textId="77777777" w:rsidR="0055205C" w:rsidRPr="00510AD0" w:rsidRDefault="0055205C" w:rsidP="00B52660">
      <w:pPr>
        <w:pStyle w:val="BodyTextLeft"/>
        <w:rPr>
          <w:u w:val="single"/>
        </w:rPr>
      </w:pPr>
      <w:r w:rsidRPr="00510AD0">
        <w:rPr>
          <w:u w:val="single"/>
        </w:rPr>
        <w:t>Sample Calculation for July 1:</w:t>
      </w:r>
    </w:p>
    <w:p w14:paraId="75EF08BA" w14:textId="77777777" w:rsidR="0055205C" w:rsidRPr="00510AD0" w:rsidRDefault="0055205C" w:rsidP="00B52660">
      <w:pPr>
        <w:pStyle w:val="BodyTextLeft"/>
      </w:pPr>
      <w:r w:rsidRPr="00510AD0">
        <w:t>Equation: ES</w:t>
      </w:r>
      <w:r w:rsidRPr="00510AD0">
        <w:rPr>
          <w:vertAlign w:val="subscript"/>
        </w:rPr>
        <w:t>d</w:t>
      </w:r>
      <w:r w:rsidRPr="00510AD0">
        <w:t xml:space="preserve"> = ∑ max [0, (large (DAP</w:t>
      </w:r>
      <w:r w:rsidRPr="00510AD0">
        <w:rPr>
          <w:vertAlign w:val="subscript"/>
        </w:rPr>
        <w:t>i</w:t>
      </w:r>
      <w:r w:rsidRPr="00510AD0">
        <w:t>) – {Wt1</w:t>
      </w:r>
      <w:r w:rsidRPr="00510AD0">
        <w:rPr>
          <w:vertAlign w:val="subscript"/>
        </w:rPr>
        <w:t>i</w:t>
      </w:r>
      <w:r w:rsidRPr="00510AD0">
        <w:t xml:space="preserve"> * small (DAP</w:t>
      </w:r>
      <w:r w:rsidRPr="00510AD0">
        <w:rPr>
          <w:vertAlign w:val="subscript"/>
        </w:rPr>
        <w:t>i</w:t>
      </w:r>
      <w:r w:rsidRPr="00510AD0">
        <w:t>) + Wt2</w:t>
      </w:r>
      <w:r w:rsidRPr="00510AD0">
        <w:rPr>
          <w:vertAlign w:val="subscript"/>
        </w:rPr>
        <w:t xml:space="preserve">i </w:t>
      </w:r>
      <w:r w:rsidRPr="00510AD0">
        <w:t>* small (DAP</w:t>
      </w:r>
      <w:r w:rsidRPr="00510AD0">
        <w:rPr>
          <w:vertAlign w:val="subscript"/>
        </w:rPr>
        <w:t>i+1</w:t>
      </w:r>
      <w:r w:rsidRPr="00510AD0">
        <w:t>) + Wt3</w:t>
      </w:r>
      <w:r w:rsidRPr="00510AD0">
        <w:rPr>
          <w:vertAlign w:val="subscript"/>
        </w:rPr>
        <w:t xml:space="preserve">i </w:t>
      </w:r>
      <w:r w:rsidRPr="00510AD0">
        <w:t>* small (DAP</w:t>
      </w:r>
      <w:r w:rsidRPr="00510AD0">
        <w:rPr>
          <w:vertAlign w:val="subscript"/>
        </w:rPr>
        <w:t>i+2</w:t>
      </w:r>
      <w:r w:rsidRPr="00510AD0">
        <w:t>)} – VOM)]</w:t>
      </w:r>
    </w:p>
    <w:p w14:paraId="6E2EC692" w14:textId="77777777" w:rsidR="0055205C" w:rsidRPr="00510AD0" w:rsidRDefault="0055205C" w:rsidP="00B52660">
      <w:pPr>
        <w:pStyle w:val="BodyTextLeft"/>
        <w:ind w:left="720"/>
      </w:pPr>
      <w:r w:rsidRPr="00510AD0">
        <w:t xml:space="preserve">Where: </w:t>
      </w:r>
    </w:p>
    <w:p w14:paraId="1384CAC0" w14:textId="77777777" w:rsidR="0055205C" w:rsidRPr="00510AD0" w:rsidRDefault="0055205C" w:rsidP="00B52660">
      <w:pPr>
        <w:pStyle w:val="BodyTextLeft"/>
        <w:ind w:left="720"/>
      </w:pPr>
      <w:r w:rsidRPr="00510AD0">
        <w:rPr>
          <w:i/>
          <w:iCs/>
        </w:rPr>
        <w:t>ES</w:t>
      </w:r>
      <w:r w:rsidRPr="00510AD0">
        <w:rPr>
          <w:i/>
          <w:iCs/>
          <w:vertAlign w:val="subscript"/>
        </w:rPr>
        <w:t xml:space="preserve">d </w:t>
      </w:r>
      <w:r w:rsidRPr="00510AD0">
        <w:t>= Energy Settlement for day d;</w:t>
      </w:r>
    </w:p>
    <w:p w14:paraId="6862D707" w14:textId="77777777" w:rsidR="0055205C" w:rsidRPr="00510AD0" w:rsidRDefault="0055205C" w:rsidP="00B52660">
      <w:pPr>
        <w:pStyle w:val="BodyTextLeft"/>
        <w:ind w:left="720"/>
      </w:pPr>
      <w:r w:rsidRPr="00510AD0">
        <w:rPr>
          <w:i/>
          <w:iCs/>
        </w:rPr>
        <w:t xml:space="preserve">∑ = </w:t>
      </w:r>
      <w:r w:rsidRPr="00510AD0">
        <w:t xml:space="preserve">the sum from i = </w:t>
      </w:r>
      <w:bookmarkStart w:id="941" w:name="DocXTextRef427"/>
      <w:r w:rsidRPr="00510AD0">
        <w:t>1</w:t>
      </w:r>
      <w:bookmarkEnd w:id="941"/>
      <w:r w:rsidRPr="00510AD0">
        <w:t xml:space="preserve"> to z, where z is the number of hours equal to the duration of the Project, expressed in hours  </w:t>
      </w:r>
    </w:p>
    <w:p w14:paraId="32E018FC" w14:textId="77777777" w:rsidR="0055205C" w:rsidRPr="00510AD0" w:rsidRDefault="0055205C" w:rsidP="00B52660">
      <w:pPr>
        <w:pStyle w:val="BodyTextLeft"/>
        <w:ind w:left="720"/>
      </w:pPr>
      <w:r w:rsidRPr="00510AD0">
        <w:t>Large (DAP</w:t>
      </w:r>
      <w:r w:rsidRPr="00510AD0">
        <w:rPr>
          <w:vertAlign w:val="subscript"/>
        </w:rPr>
        <w:t>i</w:t>
      </w:r>
      <w:r w:rsidRPr="00510AD0">
        <w:t xml:space="preserve">) = the i-th largest value of DAP for all Settlement Periods in day </w:t>
      </w:r>
      <w:r w:rsidRPr="00510AD0">
        <w:rPr>
          <w:i/>
        </w:rPr>
        <w:t>d</w:t>
      </w:r>
      <w:r w:rsidRPr="00510AD0">
        <w:t xml:space="preserve">, expressed in $/MWh </w:t>
      </w:r>
    </w:p>
    <w:p w14:paraId="5A2B5589" w14:textId="77777777" w:rsidR="0055205C" w:rsidRPr="00510AD0" w:rsidRDefault="0055205C" w:rsidP="00B52660">
      <w:pPr>
        <w:pStyle w:val="BodyTextLeft"/>
        <w:ind w:left="720"/>
      </w:pPr>
      <w:r w:rsidRPr="00510AD0">
        <w:t>Small (DAP</w:t>
      </w:r>
      <w:r w:rsidRPr="00510AD0">
        <w:rPr>
          <w:vertAlign w:val="subscript"/>
        </w:rPr>
        <w:t>i</w:t>
      </w:r>
      <w:r w:rsidRPr="00510AD0">
        <w:t xml:space="preserve">) = the i-th smallest value of DAP for all Settlement Periods in day </w:t>
      </w:r>
      <w:r w:rsidRPr="00510AD0">
        <w:rPr>
          <w:i/>
        </w:rPr>
        <w:t>d</w:t>
      </w:r>
      <w:r w:rsidRPr="00510AD0">
        <w:t xml:space="preserve">, expressed in $/MWh  </w:t>
      </w:r>
    </w:p>
    <w:p w14:paraId="4B7D4861" w14:textId="77777777" w:rsidR="0055205C" w:rsidRPr="00510AD0" w:rsidRDefault="0055205C" w:rsidP="00B52660">
      <w:pPr>
        <w:pStyle w:val="BodyTextLeft"/>
        <w:ind w:left="720"/>
        <w:rPr>
          <w:sz w:val="22"/>
          <w:szCs w:val="22"/>
        </w:rPr>
      </w:pPr>
      <w:r w:rsidRPr="00510AD0">
        <w:rPr>
          <w:sz w:val="22"/>
          <w:szCs w:val="22"/>
        </w:rPr>
        <w:t>Wt1</w:t>
      </w:r>
      <w:r w:rsidRPr="00510AD0">
        <w:rPr>
          <w:sz w:val="22"/>
          <w:szCs w:val="22"/>
          <w:vertAlign w:val="subscript"/>
        </w:rPr>
        <w:t>i</w:t>
      </w:r>
      <w:r w:rsidRPr="00510AD0">
        <w:rPr>
          <w:sz w:val="22"/>
          <w:szCs w:val="22"/>
        </w:rPr>
        <w:t xml:space="preserve"> = min (i, max (i-1, i/E)) – min (i, max (i-1, (i-1)/E))</w:t>
      </w:r>
    </w:p>
    <w:p w14:paraId="204E8263" w14:textId="77777777" w:rsidR="0055205C" w:rsidRPr="00510AD0" w:rsidRDefault="0055205C" w:rsidP="00B52660">
      <w:pPr>
        <w:pStyle w:val="BodyTextLeft"/>
        <w:ind w:left="720"/>
        <w:rPr>
          <w:sz w:val="22"/>
          <w:szCs w:val="22"/>
        </w:rPr>
      </w:pPr>
      <w:r w:rsidRPr="00510AD0">
        <w:rPr>
          <w:sz w:val="22"/>
          <w:szCs w:val="22"/>
        </w:rPr>
        <w:t>Wt2</w:t>
      </w:r>
      <w:r w:rsidRPr="00510AD0">
        <w:rPr>
          <w:sz w:val="22"/>
          <w:szCs w:val="22"/>
          <w:vertAlign w:val="subscript"/>
        </w:rPr>
        <w:t>i</w:t>
      </w:r>
      <w:r w:rsidRPr="00510AD0">
        <w:rPr>
          <w:sz w:val="22"/>
          <w:szCs w:val="22"/>
        </w:rPr>
        <w:t xml:space="preserve"> = min (i+1, max (i, i/E)) – min (i+1, max (i, (i-1)/E))</w:t>
      </w:r>
    </w:p>
    <w:p w14:paraId="7EECDEF0" w14:textId="77777777" w:rsidR="0055205C" w:rsidRPr="00510AD0" w:rsidRDefault="0055205C" w:rsidP="00B52660">
      <w:pPr>
        <w:pStyle w:val="BodyTextLeft"/>
        <w:ind w:left="720"/>
      </w:pPr>
      <w:r w:rsidRPr="00510AD0">
        <w:t>Wt3</w:t>
      </w:r>
      <w:r w:rsidRPr="00510AD0">
        <w:rPr>
          <w:vertAlign w:val="subscript"/>
        </w:rPr>
        <w:t>i</w:t>
      </w:r>
      <w:r w:rsidRPr="00510AD0">
        <w:t xml:space="preserve"> = min (i+2, max (i+1, i/E)) – min (i+2, max (i+1, (i-1)/E))</w:t>
      </w:r>
    </w:p>
    <w:p w14:paraId="60318842" w14:textId="77777777" w:rsidR="0055205C" w:rsidRPr="00510AD0" w:rsidRDefault="0055205C" w:rsidP="00B52660">
      <w:pPr>
        <w:pStyle w:val="BodyTextLeft"/>
        <w:ind w:left="720"/>
      </w:pPr>
      <w:r w:rsidRPr="00510AD0">
        <w:t>E = round trip efficiency of the Project, expressed as a percentage</w:t>
      </w:r>
    </w:p>
    <w:p w14:paraId="67453B8B" w14:textId="77777777" w:rsidR="0055205C" w:rsidRPr="00510AD0" w:rsidRDefault="0055205C" w:rsidP="00B52660">
      <w:pPr>
        <w:pStyle w:val="BodyTextLeft"/>
        <w:ind w:left="720"/>
      </w:pPr>
      <w:r w:rsidRPr="00510AD0">
        <w:t>VOM = Variable O&amp;M, expressed in $/MWh</w:t>
      </w:r>
    </w:p>
    <w:p w14:paraId="660A2F17" w14:textId="77777777" w:rsidR="0055205C" w:rsidRPr="00510AD0" w:rsidRDefault="0055205C" w:rsidP="00B52660">
      <w:pPr>
        <w:pStyle w:val="BodyTextLeft"/>
        <w:rPr>
          <w:u w:val="single"/>
        </w:rPr>
      </w:pPr>
      <w:r w:rsidRPr="00510AD0">
        <w:rPr>
          <w:u w:val="single"/>
        </w:rPr>
        <w:t>Step 1:</w:t>
      </w:r>
    </w:p>
    <w:p w14:paraId="2FBD7F44" w14:textId="77777777" w:rsidR="0055205C" w:rsidRPr="00510AD0" w:rsidRDefault="0055205C" w:rsidP="00B52660">
      <w:pPr>
        <w:pStyle w:val="BodyTextLeft"/>
      </w:pPr>
      <w:r w:rsidRPr="00510AD0">
        <w:t xml:space="preserve">Where i = </w:t>
      </w:r>
      <w:bookmarkStart w:id="942" w:name="DocXTextRef428"/>
      <w:r w:rsidRPr="00510AD0">
        <w:t>1</w:t>
      </w:r>
      <w:bookmarkEnd w:id="942"/>
      <w:r w:rsidRPr="00510AD0">
        <w:t>,</w:t>
      </w:r>
    </w:p>
    <w:p w14:paraId="13C81B7D" w14:textId="77777777" w:rsidR="0055205C" w:rsidRPr="00510AD0" w:rsidRDefault="0055205C" w:rsidP="00B52660">
      <w:pPr>
        <w:pStyle w:val="BodyTextLeft"/>
        <w:ind w:left="720"/>
        <w:rPr>
          <w:sz w:val="22"/>
          <w:szCs w:val="22"/>
        </w:rPr>
      </w:pPr>
      <w:r w:rsidRPr="00510AD0">
        <w:rPr>
          <w:sz w:val="22"/>
          <w:szCs w:val="22"/>
        </w:rPr>
        <w:t>Wt1</w:t>
      </w:r>
      <w:r w:rsidRPr="00510AD0">
        <w:rPr>
          <w:sz w:val="22"/>
          <w:szCs w:val="22"/>
          <w:vertAlign w:val="subscript"/>
        </w:rPr>
        <w:t>1</w:t>
      </w:r>
      <w:r w:rsidRPr="00510AD0">
        <w:rPr>
          <w:sz w:val="22"/>
          <w:szCs w:val="22"/>
        </w:rPr>
        <w:t xml:space="preserve"> = min (1, max (1-1, 1/75%)) – min (1, max (1-1, (1-1)/75%))</w:t>
      </w:r>
    </w:p>
    <w:p w14:paraId="7ED33E55" w14:textId="77777777" w:rsidR="0055205C" w:rsidRPr="00510AD0" w:rsidRDefault="0055205C" w:rsidP="00B52660">
      <w:pPr>
        <w:pStyle w:val="NormalWeb"/>
        <w:spacing w:after="240" w:afterAutospacing="0"/>
        <w:ind w:firstLine="1170"/>
        <w:rPr>
          <w:sz w:val="22"/>
          <w:szCs w:val="22"/>
        </w:rPr>
      </w:pPr>
      <w:r w:rsidRPr="00510AD0">
        <w:rPr>
          <w:sz w:val="22"/>
          <w:szCs w:val="22"/>
        </w:rPr>
        <w:t xml:space="preserve"> = min (1, 1/75%) – min (1,0)</w:t>
      </w:r>
    </w:p>
    <w:p w14:paraId="090B3E5D" w14:textId="77777777" w:rsidR="0055205C" w:rsidRPr="00510AD0" w:rsidRDefault="0055205C" w:rsidP="00B52660">
      <w:pPr>
        <w:pStyle w:val="NormalWeb"/>
        <w:spacing w:after="240" w:afterAutospacing="0"/>
        <w:ind w:firstLine="1260"/>
        <w:rPr>
          <w:sz w:val="22"/>
          <w:szCs w:val="22"/>
        </w:rPr>
      </w:pPr>
      <w:r w:rsidRPr="00510AD0">
        <w:rPr>
          <w:sz w:val="22"/>
          <w:szCs w:val="22"/>
        </w:rPr>
        <w:t xml:space="preserve">= 1 – </w:t>
      </w:r>
      <w:bookmarkStart w:id="943" w:name="DocXTextRef429"/>
      <w:r w:rsidRPr="00510AD0">
        <w:rPr>
          <w:sz w:val="22"/>
          <w:szCs w:val="22"/>
        </w:rPr>
        <w:t>0</w:t>
      </w:r>
      <w:bookmarkEnd w:id="943"/>
    </w:p>
    <w:p w14:paraId="0F643674" w14:textId="77777777" w:rsidR="0055205C" w:rsidRPr="00510AD0" w:rsidRDefault="0055205C" w:rsidP="00E907E0">
      <w:pPr>
        <w:pStyle w:val="NormalWeb"/>
        <w:spacing w:after="240" w:afterAutospacing="0"/>
        <w:ind w:left="450" w:firstLine="810"/>
        <w:rPr>
          <w:sz w:val="22"/>
          <w:szCs w:val="22"/>
        </w:rPr>
      </w:pPr>
      <w:r w:rsidRPr="00510AD0">
        <w:rPr>
          <w:sz w:val="22"/>
          <w:szCs w:val="22"/>
        </w:rPr>
        <w:t>= 1</w:t>
      </w:r>
    </w:p>
    <w:p w14:paraId="1289AA41" w14:textId="77777777" w:rsidR="0055205C" w:rsidRPr="00510AD0" w:rsidRDefault="0055205C" w:rsidP="00E907E0">
      <w:pPr>
        <w:pStyle w:val="NormalWeb"/>
        <w:spacing w:after="240" w:afterAutospacing="0"/>
        <w:ind w:firstLine="720"/>
        <w:rPr>
          <w:sz w:val="22"/>
          <w:szCs w:val="22"/>
        </w:rPr>
      </w:pPr>
      <w:r w:rsidRPr="00510AD0">
        <w:rPr>
          <w:sz w:val="22"/>
          <w:szCs w:val="22"/>
        </w:rPr>
        <w:t>Wt2</w:t>
      </w:r>
      <w:r w:rsidRPr="00510AD0">
        <w:rPr>
          <w:sz w:val="22"/>
          <w:szCs w:val="22"/>
          <w:vertAlign w:val="subscript"/>
        </w:rPr>
        <w:t>1</w:t>
      </w:r>
      <w:r w:rsidRPr="00510AD0">
        <w:rPr>
          <w:sz w:val="22"/>
          <w:szCs w:val="22"/>
        </w:rPr>
        <w:t xml:space="preserve"> = min (1+1, max (1, 1/75%)) – min (1+1, max (1, (1-1)/75%))</w:t>
      </w:r>
    </w:p>
    <w:p w14:paraId="4655363C" w14:textId="77777777" w:rsidR="0055205C" w:rsidRPr="00510AD0" w:rsidRDefault="0055205C" w:rsidP="00E907E0">
      <w:pPr>
        <w:pStyle w:val="NormalWeb"/>
        <w:spacing w:after="240" w:afterAutospacing="0"/>
        <w:ind w:firstLine="1260"/>
        <w:rPr>
          <w:sz w:val="22"/>
          <w:szCs w:val="22"/>
        </w:rPr>
      </w:pPr>
      <w:r w:rsidRPr="00510AD0">
        <w:rPr>
          <w:sz w:val="22"/>
          <w:szCs w:val="22"/>
        </w:rPr>
        <w:lastRenderedPageBreak/>
        <w:t xml:space="preserve">= min (2, 1/75%) – min (2, </w:t>
      </w:r>
      <w:bookmarkStart w:id="944" w:name="DocXTextRef430"/>
      <w:r w:rsidRPr="00510AD0">
        <w:rPr>
          <w:sz w:val="22"/>
          <w:szCs w:val="22"/>
        </w:rPr>
        <w:t>1</w:t>
      </w:r>
      <w:bookmarkEnd w:id="944"/>
      <w:r w:rsidRPr="00510AD0">
        <w:rPr>
          <w:sz w:val="22"/>
          <w:szCs w:val="22"/>
        </w:rPr>
        <w:t>)</w:t>
      </w:r>
    </w:p>
    <w:p w14:paraId="4E0E8598"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1/75% - </w:t>
      </w:r>
      <w:bookmarkStart w:id="945" w:name="DocXTextRef431"/>
      <w:r w:rsidRPr="00510AD0">
        <w:rPr>
          <w:sz w:val="22"/>
          <w:szCs w:val="22"/>
        </w:rPr>
        <w:t>1</w:t>
      </w:r>
      <w:bookmarkEnd w:id="945"/>
    </w:p>
    <w:p w14:paraId="1E280458" w14:textId="77777777" w:rsidR="0055205C" w:rsidRPr="00510AD0" w:rsidRDefault="0055205C" w:rsidP="00E907E0">
      <w:pPr>
        <w:pStyle w:val="NormalWeb"/>
        <w:spacing w:after="240" w:afterAutospacing="0"/>
        <w:ind w:firstLine="1260"/>
        <w:rPr>
          <w:sz w:val="22"/>
          <w:szCs w:val="22"/>
        </w:rPr>
      </w:pPr>
      <w:r w:rsidRPr="00510AD0">
        <w:rPr>
          <w:sz w:val="22"/>
          <w:szCs w:val="22"/>
        </w:rPr>
        <w:t>= 0.333</w:t>
      </w:r>
    </w:p>
    <w:p w14:paraId="003B5B92" w14:textId="77777777" w:rsidR="0055205C" w:rsidRPr="00510AD0" w:rsidRDefault="0055205C" w:rsidP="00E907E0">
      <w:pPr>
        <w:spacing w:after="240"/>
        <w:ind w:left="720"/>
      </w:pPr>
      <w:r w:rsidRPr="00510AD0">
        <w:t>Wt3</w:t>
      </w:r>
      <w:r w:rsidRPr="00510AD0">
        <w:rPr>
          <w:vertAlign w:val="subscript"/>
        </w:rPr>
        <w:t>1</w:t>
      </w:r>
      <w:r w:rsidRPr="00510AD0">
        <w:t xml:space="preserve"> = min (1+2, max (1+1, 1/75%)) – min (1+2, max (1+1, (1-1)/75%))</w:t>
      </w:r>
    </w:p>
    <w:p w14:paraId="00349AFA" w14:textId="77777777" w:rsidR="0055205C" w:rsidRPr="00510AD0" w:rsidRDefault="0055205C" w:rsidP="00E907E0">
      <w:pPr>
        <w:spacing w:after="240"/>
        <w:ind w:left="720" w:firstLine="540"/>
      </w:pPr>
      <w:r w:rsidRPr="00510AD0">
        <w:t xml:space="preserve">= min (3, </w:t>
      </w:r>
      <w:bookmarkStart w:id="946" w:name="DocXTextRef432"/>
      <w:r w:rsidRPr="00510AD0">
        <w:t>2</w:t>
      </w:r>
      <w:bookmarkEnd w:id="946"/>
      <w:r w:rsidRPr="00510AD0">
        <w:t xml:space="preserve">) – min (3, </w:t>
      </w:r>
      <w:bookmarkStart w:id="947" w:name="DocXTextRef433"/>
      <w:r w:rsidRPr="00510AD0">
        <w:t>2</w:t>
      </w:r>
      <w:bookmarkEnd w:id="947"/>
      <w:r w:rsidRPr="00510AD0">
        <w:t>)</w:t>
      </w:r>
    </w:p>
    <w:p w14:paraId="7D2A1F5E" w14:textId="77777777" w:rsidR="0055205C" w:rsidRPr="00510AD0" w:rsidRDefault="0055205C" w:rsidP="00E907E0">
      <w:pPr>
        <w:spacing w:after="240"/>
        <w:ind w:left="720" w:firstLine="540"/>
      </w:pPr>
      <w:r w:rsidRPr="00510AD0">
        <w:t xml:space="preserve">= 2 – </w:t>
      </w:r>
      <w:bookmarkStart w:id="948" w:name="DocXTextRef434"/>
      <w:r w:rsidRPr="00510AD0">
        <w:t>2</w:t>
      </w:r>
      <w:bookmarkEnd w:id="948"/>
      <w:r w:rsidRPr="00510AD0">
        <w:t xml:space="preserve"> </w:t>
      </w:r>
    </w:p>
    <w:p w14:paraId="54024A5A" w14:textId="77777777" w:rsidR="0055205C" w:rsidRPr="00510AD0" w:rsidRDefault="0055205C" w:rsidP="00E907E0">
      <w:pPr>
        <w:spacing w:after="240"/>
        <w:ind w:left="720" w:firstLine="540"/>
      </w:pPr>
      <w:r w:rsidRPr="00510AD0">
        <w:t>= 0</w:t>
      </w:r>
    </w:p>
    <w:p w14:paraId="76EB4485" w14:textId="77777777" w:rsidR="0055205C" w:rsidRPr="00510AD0" w:rsidRDefault="0055205C" w:rsidP="00E907E0">
      <w:pPr>
        <w:spacing w:after="240"/>
      </w:pPr>
      <w:r w:rsidRPr="00510AD0">
        <w:t xml:space="preserve">Where i = </w:t>
      </w:r>
      <w:bookmarkStart w:id="949" w:name="DocXTextRef435"/>
      <w:r w:rsidRPr="00510AD0">
        <w:t>2</w:t>
      </w:r>
      <w:bookmarkEnd w:id="949"/>
      <w:r w:rsidRPr="00510AD0">
        <w:t>,</w:t>
      </w:r>
    </w:p>
    <w:p w14:paraId="3AB09CC0" w14:textId="77777777" w:rsidR="0055205C" w:rsidRPr="00510AD0" w:rsidRDefault="0055205C" w:rsidP="00E907E0">
      <w:pPr>
        <w:pStyle w:val="NormalWeb"/>
        <w:spacing w:after="240" w:afterAutospacing="0"/>
        <w:ind w:firstLine="720"/>
        <w:rPr>
          <w:sz w:val="22"/>
          <w:szCs w:val="22"/>
        </w:rPr>
      </w:pPr>
      <w:r w:rsidRPr="00510AD0">
        <w:rPr>
          <w:sz w:val="22"/>
          <w:szCs w:val="22"/>
        </w:rPr>
        <w:t>Wt1</w:t>
      </w:r>
      <w:r w:rsidRPr="00510AD0">
        <w:rPr>
          <w:sz w:val="22"/>
          <w:szCs w:val="22"/>
          <w:vertAlign w:val="subscript"/>
        </w:rPr>
        <w:t>2</w:t>
      </w:r>
      <w:r w:rsidRPr="00510AD0">
        <w:rPr>
          <w:sz w:val="22"/>
          <w:szCs w:val="22"/>
        </w:rPr>
        <w:t xml:space="preserve"> = min (2, max (2-1, 2/75%)) – min (2, max (2-1, (2-1)/75%))</w:t>
      </w:r>
    </w:p>
    <w:p w14:paraId="247A4419" w14:textId="77777777" w:rsidR="0055205C" w:rsidRPr="00510AD0" w:rsidRDefault="0055205C" w:rsidP="00E907E0">
      <w:pPr>
        <w:pStyle w:val="NormalWeb"/>
        <w:spacing w:after="240" w:afterAutospacing="0"/>
        <w:ind w:firstLine="1260"/>
        <w:rPr>
          <w:sz w:val="22"/>
          <w:szCs w:val="22"/>
        </w:rPr>
      </w:pPr>
      <w:r w:rsidRPr="00510AD0">
        <w:rPr>
          <w:sz w:val="22"/>
          <w:szCs w:val="22"/>
        </w:rPr>
        <w:t>= min (2, 2/75%) – min (2, 1/75%)</w:t>
      </w:r>
    </w:p>
    <w:p w14:paraId="01933E77" w14:textId="77777777" w:rsidR="0055205C" w:rsidRPr="00510AD0" w:rsidRDefault="0055205C" w:rsidP="00E907E0">
      <w:pPr>
        <w:pStyle w:val="NormalWeb"/>
        <w:spacing w:after="240" w:afterAutospacing="0"/>
        <w:ind w:firstLine="1260"/>
        <w:rPr>
          <w:sz w:val="22"/>
          <w:szCs w:val="22"/>
        </w:rPr>
      </w:pPr>
      <w:r w:rsidRPr="00510AD0">
        <w:rPr>
          <w:sz w:val="22"/>
          <w:szCs w:val="22"/>
        </w:rPr>
        <w:t>= 2 – 1/75%</w:t>
      </w:r>
    </w:p>
    <w:p w14:paraId="08D0045F" w14:textId="77777777" w:rsidR="0055205C" w:rsidRPr="00510AD0" w:rsidRDefault="0055205C" w:rsidP="00E907E0">
      <w:pPr>
        <w:pStyle w:val="NormalWeb"/>
        <w:spacing w:after="240" w:afterAutospacing="0"/>
        <w:ind w:firstLine="1260"/>
        <w:rPr>
          <w:sz w:val="22"/>
          <w:szCs w:val="22"/>
        </w:rPr>
      </w:pPr>
      <w:r w:rsidRPr="00510AD0">
        <w:rPr>
          <w:sz w:val="22"/>
          <w:szCs w:val="22"/>
        </w:rPr>
        <w:t>= 0.667</w:t>
      </w:r>
    </w:p>
    <w:p w14:paraId="2F445946" w14:textId="77777777" w:rsidR="0055205C" w:rsidRPr="00510AD0" w:rsidRDefault="0055205C" w:rsidP="00E907E0">
      <w:pPr>
        <w:pStyle w:val="NormalWeb"/>
        <w:spacing w:after="240" w:afterAutospacing="0"/>
        <w:ind w:firstLine="720"/>
        <w:rPr>
          <w:sz w:val="22"/>
          <w:szCs w:val="22"/>
        </w:rPr>
      </w:pPr>
      <w:r w:rsidRPr="00510AD0">
        <w:rPr>
          <w:sz w:val="22"/>
          <w:szCs w:val="22"/>
        </w:rPr>
        <w:t>Wt2</w:t>
      </w:r>
      <w:r w:rsidRPr="00510AD0">
        <w:rPr>
          <w:sz w:val="22"/>
          <w:szCs w:val="22"/>
          <w:vertAlign w:val="subscript"/>
        </w:rPr>
        <w:t>2</w:t>
      </w:r>
      <w:r w:rsidRPr="00510AD0">
        <w:rPr>
          <w:sz w:val="22"/>
          <w:szCs w:val="22"/>
        </w:rPr>
        <w:t xml:space="preserve"> = min (2+1, max (2, 2/75%)) – min (2+1, max (2, (2-1)/75%))</w:t>
      </w:r>
    </w:p>
    <w:p w14:paraId="6C21B093"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min (3, 2/75%) – min (3, </w:t>
      </w:r>
      <w:bookmarkStart w:id="950" w:name="DocXTextRef436"/>
      <w:r w:rsidRPr="00510AD0">
        <w:rPr>
          <w:sz w:val="22"/>
          <w:szCs w:val="22"/>
        </w:rPr>
        <w:t>2</w:t>
      </w:r>
      <w:bookmarkEnd w:id="950"/>
      <w:r w:rsidRPr="00510AD0">
        <w:rPr>
          <w:sz w:val="22"/>
          <w:szCs w:val="22"/>
        </w:rPr>
        <w:t>)</w:t>
      </w:r>
    </w:p>
    <w:p w14:paraId="637FED4D"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2/75% - </w:t>
      </w:r>
      <w:bookmarkStart w:id="951" w:name="DocXTextRef437"/>
      <w:r w:rsidRPr="00510AD0">
        <w:rPr>
          <w:sz w:val="22"/>
          <w:szCs w:val="22"/>
        </w:rPr>
        <w:t>2</w:t>
      </w:r>
      <w:bookmarkEnd w:id="951"/>
    </w:p>
    <w:p w14:paraId="3DBF88CD" w14:textId="77777777" w:rsidR="0055205C" w:rsidRPr="00510AD0" w:rsidRDefault="0055205C" w:rsidP="00E907E0">
      <w:pPr>
        <w:pStyle w:val="NormalWeb"/>
        <w:spacing w:after="240" w:afterAutospacing="0"/>
        <w:ind w:firstLine="1260"/>
        <w:rPr>
          <w:sz w:val="22"/>
          <w:szCs w:val="22"/>
        </w:rPr>
      </w:pPr>
      <w:r w:rsidRPr="00510AD0">
        <w:rPr>
          <w:sz w:val="22"/>
          <w:szCs w:val="22"/>
        </w:rPr>
        <w:t>= 0.667</w:t>
      </w:r>
    </w:p>
    <w:p w14:paraId="77EFF48A" w14:textId="77777777" w:rsidR="0055205C" w:rsidRPr="00510AD0" w:rsidRDefault="0055205C" w:rsidP="00E907E0">
      <w:pPr>
        <w:spacing w:after="240"/>
        <w:ind w:left="720"/>
      </w:pPr>
      <w:r w:rsidRPr="00510AD0">
        <w:t>Wt3</w:t>
      </w:r>
      <w:r w:rsidRPr="00510AD0">
        <w:rPr>
          <w:vertAlign w:val="subscript"/>
        </w:rPr>
        <w:t>2</w:t>
      </w:r>
      <w:r w:rsidRPr="00510AD0">
        <w:t xml:space="preserve"> = min (2+2, max (2+1, 2/75%)) – min (2+2, max (2+1, (2-1)/75%))</w:t>
      </w:r>
    </w:p>
    <w:p w14:paraId="4B854AB1" w14:textId="77777777" w:rsidR="0055205C" w:rsidRPr="00510AD0" w:rsidRDefault="0055205C" w:rsidP="00E907E0">
      <w:pPr>
        <w:spacing w:after="240"/>
        <w:ind w:left="720" w:firstLine="540"/>
      </w:pPr>
      <w:r w:rsidRPr="00510AD0">
        <w:t xml:space="preserve">= min (4, </w:t>
      </w:r>
      <w:bookmarkStart w:id="952" w:name="DocXTextRef438"/>
      <w:r w:rsidRPr="00510AD0">
        <w:t>3</w:t>
      </w:r>
      <w:bookmarkEnd w:id="952"/>
      <w:r w:rsidRPr="00510AD0">
        <w:t xml:space="preserve">) – min (3, </w:t>
      </w:r>
      <w:bookmarkStart w:id="953" w:name="DocXTextRef439"/>
      <w:r w:rsidRPr="00510AD0">
        <w:t>3</w:t>
      </w:r>
      <w:bookmarkEnd w:id="953"/>
      <w:r w:rsidRPr="00510AD0">
        <w:t>)</w:t>
      </w:r>
    </w:p>
    <w:p w14:paraId="538F4C2E" w14:textId="77777777" w:rsidR="0055205C" w:rsidRPr="00510AD0" w:rsidRDefault="0055205C" w:rsidP="00E907E0">
      <w:pPr>
        <w:spacing w:after="240"/>
        <w:ind w:left="720" w:firstLine="540"/>
      </w:pPr>
      <w:r w:rsidRPr="00510AD0">
        <w:t xml:space="preserve">= 3 – </w:t>
      </w:r>
      <w:bookmarkStart w:id="954" w:name="DocXTextRef440"/>
      <w:r w:rsidRPr="00510AD0">
        <w:t>3</w:t>
      </w:r>
      <w:bookmarkEnd w:id="954"/>
    </w:p>
    <w:p w14:paraId="3B6A5F6C" w14:textId="77777777" w:rsidR="0055205C" w:rsidRPr="00510AD0" w:rsidRDefault="0055205C" w:rsidP="00E907E0">
      <w:pPr>
        <w:spacing w:after="240"/>
        <w:ind w:left="720" w:firstLine="540"/>
      </w:pPr>
      <w:r w:rsidRPr="00510AD0">
        <w:t>= 0</w:t>
      </w:r>
    </w:p>
    <w:p w14:paraId="7ADB7C7C" w14:textId="77777777" w:rsidR="0055205C" w:rsidRPr="00510AD0" w:rsidRDefault="0055205C" w:rsidP="00E907E0">
      <w:pPr>
        <w:spacing w:after="240"/>
      </w:pPr>
      <w:r w:rsidRPr="00510AD0">
        <w:t xml:space="preserve">Where i = </w:t>
      </w:r>
      <w:bookmarkStart w:id="955" w:name="DocXTextRef441"/>
      <w:r w:rsidRPr="00510AD0">
        <w:t>3</w:t>
      </w:r>
      <w:bookmarkEnd w:id="955"/>
      <w:r w:rsidRPr="00510AD0">
        <w:t>,</w:t>
      </w:r>
    </w:p>
    <w:p w14:paraId="5143A179" w14:textId="77777777" w:rsidR="0055205C" w:rsidRPr="00510AD0" w:rsidRDefault="0055205C" w:rsidP="00E907E0">
      <w:pPr>
        <w:pStyle w:val="NormalWeb"/>
        <w:spacing w:after="240" w:afterAutospacing="0"/>
        <w:ind w:firstLine="720"/>
        <w:rPr>
          <w:sz w:val="22"/>
          <w:szCs w:val="22"/>
        </w:rPr>
      </w:pPr>
      <w:r w:rsidRPr="00510AD0">
        <w:rPr>
          <w:sz w:val="22"/>
          <w:szCs w:val="22"/>
        </w:rPr>
        <w:t>Wt1</w:t>
      </w:r>
      <w:r w:rsidRPr="00510AD0">
        <w:rPr>
          <w:sz w:val="22"/>
          <w:szCs w:val="22"/>
          <w:vertAlign w:val="subscript"/>
        </w:rPr>
        <w:t>3</w:t>
      </w:r>
      <w:r w:rsidRPr="00510AD0">
        <w:rPr>
          <w:sz w:val="22"/>
          <w:szCs w:val="22"/>
        </w:rPr>
        <w:t xml:space="preserve"> = min (3, max (3-1, 3/75%)) – min (3, max (3-1, (3-1)/75%))</w:t>
      </w:r>
    </w:p>
    <w:p w14:paraId="2A9685AF" w14:textId="77777777" w:rsidR="0055205C" w:rsidRPr="00510AD0" w:rsidRDefault="0055205C" w:rsidP="00E907E0">
      <w:pPr>
        <w:pStyle w:val="NormalWeb"/>
        <w:spacing w:after="240" w:afterAutospacing="0"/>
        <w:ind w:firstLine="1260"/>
        <w:rPr>
          <w:sz w:val="22"/>
          <w:szCs w:val="22"/>
        </w:rPr>
      </w:pPr>
      <w:r w:rsidRPr="00510AD0">
        <w:rPr>
          <w:sz w:val="22"/>
          <w:szCs w:val="22"/>
        </w:rPr>
        <w:t>= min (3, 3/75%) – min (3, 2/75%)</w:t>
      </w:r>
    </w:p>
    <w:p w14:paraId="6B936589" w14:textId="77777777" w:rsidR="0055205C" w:rsidRPr="00510AD0" w:rsidRDefault="0055205C" w:rsidP="00E907E0">
      <w:pPr>
        <w:pStyle w:val="NormalWeb"/>
        <w:spacing w:after="240" w:afterAutospacing="0"/>
        <w:ind w:firstLine="1260"/>
        <w:rPr>
          <w:sz w:val="22"/>
          <w:szCs w:val="22"/>
        </w:rPr>
      </w:pPr>
      <w:r w:rsidRPr="00510AD0">
        <w:rPr>
          <w:sz w:val="22"/>
          <w:szCs w:val="22"/>
        </w:rPr>
        <w:t>= 3 – 2/75%</w:t>
      </w:r>
    </w:p>
    <w:p w14:paraId="10AB263E" w14:textId="77777777" w:rsidR="0055205C" w:rsidRPr="00510AD0" w:rsidRDefault="0055205C" w:rsidP="00E907E0">
      <w:pPr>
        <w:pStyle w:val="NormalWeb"/>
        <w:spacing w:after="240" w:afterAutospacing="0"/>
        <w:ind w:firstLine="1260"/>
        <w:rPr>
          <w:sz w:val="22"/>
          <w:szCs w:val="22"/>
        </w:rPr>
      </w:pPr>
      <w:r w:rsidRPr="00510AD0">
        <w:rPr>
          <w:sz w:val="22"/>
          <w:szCs w:val="22"/>
        </w:rPr>
        <w:lastRenderedPageBreak/>
        <w:t>= 0.333</w:t>
      </w:r>
    </w:p>
    <w:p w14:paraId="10E6DA8A" w14:textId="77777777" w:rsidR="0055205C" w:rsidRPr="00510AD0" w:rsidRDefault="0055205C" w:rsidP="00E907E0">
      <w:pPr>
        <w:pStyle w:val="NormalWeb"/>
        <w:spacing w:after="240" w:afterAutospacing="0"/>
        <w:ind w:firstLine="720"/>
        <w:rPr>
          <w:sz w:val="22"/>
          <w:szCs w:val="22"/>
        </w:rPr>
      </w:pPr>
      <w:r w:rsidRPr="00510AD0">
        <w:rPr>
          <w:sz w:val="22"/>
          <w:szCs w:val="22"/>
        </w:rPr>
        <w:t>Wt2</w:t>
      </w:r>
      <w:r w:rsidRPr="00510AD0">
        <w:rPr>
          <w:sz w:val="22"/>
          <w:szCs w:val="22"/>
          <w:vertAlign w:val="subscript"/>
        </w:rPr>
        <w:t>3</w:t>
      </w:r>
      <w:r w:rsidRPr="00510AD0">
        <w:rPr>
          <w:sz w:val="22"/>
          <w:szCs w:val="22"/>
        </w:rPr>
        <w:t xml:space="preserve"> = min (3+1, max (3, 3/75%)) – min (3+1, max (3, (3-1)/75%))</w:t>
      </w:r>
    </w:p>
    <w:p w14:paraId="035A9496"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min (4, 3/75%) – min (4, </w:t>
      </w:r>
      <w:bookmarkStart w:id="956" w:name="DocXTextRef442"/>
      <w:r w:rsidRPr="00510AD0">
        <w:rPr>
          <w:sz w:val="22"/>
          <w:szCs w:val="22"/>
        </w:rPr>
        <w:t>3</w:t>
      </w:r>
      <w:bookmarkEnd w:id="956"/>
      <w:r w:rsidRPr="00510AD0">
        <w:rPr>
          <w:sz w:val="22"/>
          <w:szCs w:val="22"/>
        </w:rPr>
        <w:t>)</w:t>
      </w:r>
    </w:p>
    <w:p w14:paraId="4502F7AA"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4 – </w:t>
      </w:r>
      <w:bookmarkStart w:id="957" w:name="DocXTextRef443"/>
      <w:r w:rsidRPr="00510AD0">
        <w:rPr>
          <w:sz w:val="22"/>
          <w:szCs w:val="22"/>
        </w:rPr>
        <w:t>3</w:t>
      </w:r>
      <w:bookmarkEnd w:id="957"/>
    </w:p>
    <w:p w14:paraId="1DE3FEF0" w14:textId="77777777" w:rsidR="0055205C" w:rsidRPr="00510AD0" w:rsidRDefault="0055205C" w:rsidP="00E907E0">
      <w:pPr>
        <w:pStyle w:val="NormalWeb"/>
        <w:spacing w:after="240" w:afterAutospacing="0"/>
        <w:ind w:firstLine="1260"/>
        <w:rPr>
          <w:sz w:val="22"/>
          <w:szCs w:val="22"/>
        </w:rPr>
      </w:pPr>
      <w:r w:rsidRPr="00510AD0">
        <w:rPr>
          <w:sz w:val="22"/>
          <w:szCs w:val="22"/>
        </w:rPr>
        <w:t>= 1</w:t>
      </w:r>
    </w:p>
    <w:p w14:paraId="4EB81048" w14:textId="77777777" w:rsidR="0055205C" w:rsidRPr="00510AD0" w:rsidRDefault="0055205C" w:rsidP="00E907E0">
      <w:pPr>
        <w:spacing w:after="240"/>
        <w:ind w:left="720"/>
      </w:pPr>
      <w:r w:rsidRPr="00510AD0">
        <w:t>Wt3</w:t>
      </w:r>
      <w:r w:rsidRPr="00510AD0">
        <w:rPr>
          <w:vertAlign w:val="subscript"/>
        </w:rPr>
        <w:t>3</w:t>
      </w:r>
      <w:r w:rsidRPr="00510AD0">
        <w:t xml:space="preserve"> = min (3+2, max (3+1, 3/75%)) – min (3+2, max (3+1, (3-1)/75%))</w:t>
      </w:r>
    </w:p>
    <w:p w14:paraId="065584DC" w14:textId="77777777" w:rsidR="0055205C" w:rsidRPr="00510AD0" w:rsidRDefault="0055205C" w:rsidP="00E907E0">
      <w:pPr>
        <w:spacing w:after="240"/>
        <w:ind w:left="720" w:firstLine="540"/>
      </w:pPr>
      <w:r w:rsidRPr="00510AD0">
        <w:t xml:space="preserve">= min (5, </w:t>
      </w:r>
      <w:bookmarkStart w:id="958" w:name="DocXTextRef444"/>
      <w:r w:rsidRPr="00510AD0">
        <w:t>4</w:t>
      </w:r>
      <w:bookmarkEnd w:id="958"/>
      <w:r w:rsidRPr="00510AD0">
        <w:t xml:space="preserve">) – min (5, </w:t>
      </w:r>
      <w:bookmarkStart w:id="959" w:name="DocXTextRef445"/>
      <w:r w:rsidRPr="00510AD0">
        <w:t>4</w:t>
      </w:r>
      <w:bookmarkEnd w:id="959"/>
      <w:r w:rsidRPr="00510AD0">
        <w:t>)</w:t>
      </w:r>
    </w:p>
    <w:p w14:paraId="19D69237" w14:textId="77777777" w:rsidR="0055205C" w:rsidRPr="00510AD0" w:rsidRDefault="0055205C" w:rsidP="00E907E0">
      <w:pPr>
        <w:spacing w:after="240"/>
        <w:ind w:left="720" w:firstLine="540"/>
      </w:pPr>
      <w:r w:rsidRPr="00510AD0">
        <w:t xml:space="preserve">= 4 – </w:t>
      </w:r>
      <w:bookmarkStart w:id="960" w:name="DocXTextRef446"/>
      <w:r w:rsidRPr="00510AD0">
        <w:t>4</w:t>
      </w:r>
      <w:bookmarkEnd w:id="960"/>
    </w:p>
    <w:p w14:paraId="57B3F47D" w14:textId="77777777" w:rsidR="0055205C" w:rsidRPr="00510AD0" w:rsidRDefault="0055205C" w:rsidP="00E907E0">
      <w:pPr>
        <w:spacing w:after="240"/>
        <w:ind w:left="720" w:firstLine="540"/>
      </w:pPr>
      <w:r w:rsidRPr="00510AD0">
        <w:t>= 0</w:t>
      </w:r>
    </w:p>
    <w:p w14:paraId="2DB73534" w14:textId="77777777" w:rsidR="0055205C" w:rsidRPr="00510AD0" w:rsidRDefault="0055205C" w:rsidP="00E907E0">
      <w:pPr>
        <w:spacing w:after="240"/>
      </w:pPr>
      <w:r w:rsidRPr="00510AD0">
        <w:t xml:space="preserve">Where i = </w:t>
      </w:r>
      <w:bookmarkStart w:id="961" w:name="DocXTextRef447"/>
      <w:r w:rsidRPr="00510AD0">
        <w:t>4</w:t>
      </w:r>
      <w:bookmarkEnd w:id="961"/>
      <w:r w:rsidRPr="00510AD0">
        <w:t>,</w:t>
      </w:r>
    </w:p>
    <w:p w14:paraId="6880E4E7" w14:textId="77777777" w:rsidR="0055205C" w:rsidRPr="00510AD0" w:rsidRDefault="0055205C" w:rsidP="00E907E0">
      <w:pPr>
        <w:pStyle w:val="NormalWeb"/>
        <w:spacing w:after="240" w:afterAutospacing="0"/>
        <w:ind w:firstLine="720"/>
        <w:rPr>
          <w:sz w:val="22"/>
          <w:szCs w:val="22"/>
        </w:rPr>
      </w:pPr>
      <w:r w:rsidRPr="00510AD0">
        <w:rPr>
          <w:sz w:val="22"/>
          <w:szCs w:val="22"/>
        </w:rPr>
        <w:t>Wt1</w:t>
      </w:r>
      <w:r w:rsidRPr="00510AD0">
        <w:rPr>
          <w:sz w:val="22"/>
          <w:szCs w:val="22"/>
          <w:vertAlign w:val="subscript"/>
        </w:rPr>
        <w:t>4</w:t>
      </w:r>
      <w:r w:rsidRPr="00510AD0">
        <w:rPr>
          <w:sz w:val="22"/>
          <w:szCs w:val="22"/>
        </w:rPr>
        <w:t xml:space="preserve"> = min (4, max (4-1, 4/75%)) – min (4, max (4-1, (4-1)/75%))</w:t>
      </w:r>
    </w:p>
    <w:p w14:paraId="33DA6A07" w14:textId="77777777" w:rsidR="0055205C" w:rsidRPr="00510AD0" w:rsidRDefault="0055205C" w:rsidP="00E907E0">
      <w:pPr>
        <w:pStyle w:val="NormalWeb"/>
        <w:spacing w:after="240" w:afterAutospacing="0"/>
        <w:ind w:firstLine="1260"/>
        <w:rPr>
          <w:sz w:val="22"/>
          <w:szCs w:val="22"/>
        </w:rPr>
      </w:pPr>
      <w:r w:rsidRPr="00510AD0">
        <w:rPr>
          <w:sz w:val="22"/>
          <w:szCs w:val="22"/>
        </w:rPr>
        <w:t>= min (4, 4/75%) – min (4, 3/75%)</w:t>
      </w:r>
    </w:p>
    <w:p w14:paraId="5D226EE6" w14:textId="77777777" w:rsidR="0055205C" w:rsidRPr="00510AD0" w:rsidRDefault="0055205C" w:rsidP="00E907E0">
      <w:pPr>
        <w:pStyle w:val="NormalWeb"/>
        <w:spacing w:after="240" w:afterAutospacing="0"/>
        <w:ind w:firstLine="1260"/>
        <w:rPr>
          <w:sz w:val="22"/>
          <w:szCs w:val="22"/>
        </w:rPr>
      </w:pPr>
      <w:r w:rsidRPr="00510AD0">
        <w:rPr>
          <w:sz w:val="22"/>
          <w:szCs w:val="22"/>
        </w:rPr>
        <w:t>= 4 – 3/75%</w:t>
      </w:r>
    </w:p>
    <w:p w14:paraId="0D055E07" w14:textId="77777777" w:rsidR="0055205C" w:rsidRPr="00510AD0" w:rsidRDefault="0055205C" w:rsidP="00E907E0">
      <w:pPr>
        <w:pStyle w:val="NormalWeb"/>
        <w:spacing w:after="240" w:afterAutospacing="0"/>
        <w:ind w:firstLine="1260"/>
        <w:rPr>
          <w:sz w:val="22"/>
          <w:szCs w:val="22"/>
        </w:rPr>
      </w:pPr>
      <w:r w:rsidRPr="00510AD0">
        <w:rPr>
          <w:sz w:val="22"/>
          <w:szCs w:val="22"/>
        </w:rPr>
        <w:t>= 0</w:t>
      </w:r>
    </w:p>
    <w:p w14:paraId="21F4D84F" w14:textId="77777777" w:rsidR="0055205C" w:rsidRPr="00510AD0" w:rsidRDefault="0055205C" w:rsidP="00E907E0">
      <w:pPr>
        <w:pStyle w:val="NormalWeb"/>
        <w:spacing w:after="240" w:afterAutospacing="0"/>
        <w:ind w:firstLine="720"/>
        <w:rPr>
          <w:sz w:val="22"/>
          <w:szCs w:val="22"/>
        </w:rPr>
      </w:pPr>
      <w:r w:rsidRPr="00510AD0">
        <w:rPr>
          <w:sz w:val="22"/>
          <w:szCs w:val="22"/>
        </w:rPr>
        <w:t>Wt2</w:t>
      </w:r>
      <w:r w:rsidRPr="00510AD0">
        <w:rPr>
          <w:sz w:val="22"/>
          <w:szCs w:val="22"/>
          <w:vertAlign w:val="subscript"/>
        </w:rPr>
        <w:t>4</w:t>
      </w:r>
      <w:r w:rsidRPr="00510AD0">
        <w:rPr>
          <w:sz w:val="22"/>
          <w:szCs w:val="22"/>
        </w:rPr>
        <w:t xml:space="preserve"> = min (4+1, max (4, 4/75%)) – min (4+1, max (4, (4-1)/75%))</w:t>
      </w:r>
    </w:p>
    <w:p w14:paraId="491B1728"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min (5, 4/75%) – min (5, </w:t>
      </w:r>
      <w:bookmarkStart w:id="962" w:name="DocXTextRef448"/>
      <w:r w:rsidRPr="00510AD0">
        <w:rPr>
          <w:sz w:val="22"/>
          <w:szCs w:val="22"/>
        </w:rPr>
        <w:t>4</w:t>
      </w:r>
      <w:bookmarkEnd w:id="962"/>
      <w:r w:rsidRPr="00510AD0">
        <w:rPr>
          <w:sz w:val="22"/>
          <w:szCs w:val="22"/>
        </w:rPr>
        <w:t>)</w:t>
      </w:r>
    </w:p>
    <w:p w14:paraId="2F5425CF" w14:textId="77777777" w:rsidR="0055205C" w:rsidRPr="00510AD0" w:rsidRDefault="0055205C" w:rsidP="00E907E0">
      <w:pPr>
        <w:pStyle w:val="NormalWeb"/>
        <w:spacing w:after="240" w:afterAutospacing="0"/>
        <w:ind w:firstLine="1260"/>
        <w:rPr>
          <w:sz w:val="22"/>
          <w:szCs w:val="22"/>
        </w:rPr>
      </w:pPr>
      <w:r w:rsidRPr="00510AD0">
        <w:rPr>
          <w:sz w:val="22"/>
          <w:szCs w:val="22"/>
        </w:rPr>
        <w:t xml:space="preserve">= 5 – </w:t>
      </w:r>
      <w:bookmarkStart w:id="963" w:name="DocXTextRef449"/>
      <w:r w:rsidRPr="00510AD0">
        <w:rPr>
          <w:sz w:val="22"/>
          <w:szCs w:val="22"/>
        </w:rPr>
        <w:t>4</w:t>
      </w:r>
      <w:bookmarkEnd w:id="963"/>
    </w:p>
    <w:p w14:paraId="4A3B4C97" w14:textId="77777777" w:rsidR="0055205C" w:rsidRPr="00510AD0" w:rsidRDefault="0055205C" w:rsidP="00E907E0">
      <w:pPr>
        <w:pStyle w:val="NormalWeb"/>
        <w:spacing w:after="240" w:afterAutospacing="0"/>
        <w:ind w:firstLine="1260"/>
        <w:rPr>
          <w:sz w:val="22"/>
          <w:szCs w:val="22"/>
        </w:rPr>
      </w:pPr>
      <w:r w:rsidRPr="00510AD0">
        <w:rPr>
          <w:sz w:val="22"/>
          <w:szCs w:val="22"/>
        </w:rPr>
        <w:t>= 1</w:t>
      </w:r>
    </w:p>
    <w:p w14:paraId="5FF62741" w14:textId="77777777" w:rsidR="0055205C" w:rsidRPr="00510AD0" w:rsidRDefault="0055205C" w:rsidP="00E907E0">
      <w:pPr>
        <w:spacing w:after="240"/>
        <w:ind w:left="720"/>
      </w:pPr>
      <w:r w:rsidRPr="00510AD0">
        <w:t>Wt3</w:t>
      </w:r>
      <w:r w:rsidRPr="00510AD0">
        <w:rPr>
          <w:vertAlign w:val="subscript"/>
        </w:rPr>
        <w:t>4</w:t>
      </w:r>
      <w:r w:rsidRPr="00510AD0">
        <w:t xml:space="preserve"> = min (4+2, max (4+1, 4/75%)) – min (4+2, max (4+1, (4-1)/75%))</w:t>
      </w:r>
    </w:p>
    <w:p w14:paraId="014CBFC2" w14:textId="77777777" w:rsidR="0055205C" w:rsidRPr="00510AD0" w:rsidRDefault="0055205C" w:rsidP="00E907E0">
      <w:pPr>
        <w:spacing w:after="240"/>
        <w:ind w:left="720" w:firstLine="540"/>
      </w:pPr>
      <w:r w:rsidRPr="00510AD0">
        <w:t xml:space="preserve">= min (6, 4/75%) – min (6, </w:t>
      </w:r>
      <w:bookmarkStart w:id="964" w:name="DocXTextRef450"/>
      <w:r w:rsidRPr="00510AD0">
        <w:t>5</w:t>
      </w:r>
      <w:bookmarkEnd w:id="964"/>
      <w:r w:rsidRPr="00510AD0">
        <w:t>)</w:t>
      </w:r>
    </w:p>
    <w:p w14:paraId="78653277" w14:textId="77777777" w:rsidR="0055205C" w:rsidRPr="00510AD0" w:rsidRDefault="0055205C" w:rsidP="00E907E0">
      <w:pPr>
        <w:spacing w:after="240"/>
        <w:ind w:left="720" w:firstLine="540"/>
      </w:pPr>
      <w:r w:rsidRPr="00510AD0">
        <w:t xml:space="preserve">= 4/75% - </w:t>
      </w:r>
      <w:bookmarkStart w:id="965" w:name="DocXTextRef451"/>
      <w:r w:rsidRPr="00510AD0">
        <w:t>5</w:t>
      </w:r>
      <w:bookmarkEnd w:id="965"/>
    </w:p>
    <w:p w14:paraId="5D4DF9E3" w14:textId="77777777" w:rsidR="0055205C" w:rsidRPr="00510AD0" w:rsidRDefault="0055205C" w:rsidP="00E907E0">
      <w:pPr>
        <w:spacing w:after="240"/>
        <w:ind w:left="720" w:firstLine="540"/>
      </w:pPr>
      <w:r w:rsidRPr="00510AD0">
        <w:t>= 0.333</w:t>
      </w:r>
    </w:p>
    <w:p w14:paraId="13786C2F" w14:textId="77777777" w:rsidR="0055205C" w:rsidRPr="00510AD0" w:rsidRDefault="0055205C" w:rsidP="00E907E0">
      <w:pPr>
        <w:spacing w:after="240"/>
        <w:rPr>
          <w:u w:val="single"/>
        </w:rPr>
      </w:pPr>
      <w:r w:rsidRPr="00510AD0">
        <w:rPr>
          <w:u w:val="single"/>
        </w:rPr>
        <w:t xml:space="preserve">Step 2: </w:t>
      </w:r>
    </w:p>
    <w:p w14:paraId="0DDAFE13" w14:textId="77777777" w:rsidR="0055205C" w:rsidRPr="00510AD0" w:rsidRDefault="0055205C" w:rsidP="00E907E0">
      <w:pPr>
        <w:spacing w:after="240"/>
      </w:pPr>
      <w:r w:rsidRPr="00510AD0">
        <w:t xml:space="preserve">Where i = </w:t>
      </w:r>
      <w:bookmarkStart w:id="966" w:name="DocXTextRef452"/>
      <w:r w:rsidRPr="00510AD0">
        <w:t>1</w:t>
      </w:r>
      <w:bookmarkEnd w:id="966"/>
      <w:r w:rsidRPr="00510AD0">
        <w:t>, Max [$0, (Large (DAP</w:t>
      </w:r>
      <w:r w:rsidRPr="00510AD0">
        <w:rPr>
          <w:vertAlign w:val="subscript"/>
        </w:rPr>
        <w:t>1</w:t>
      </w:r>
      <w:r w:rsidRPr="00510AD0">
        <w:t>) – {Wt1</w:t>
      </w:r>
      <w:r w:rsidRPr="00510AD0">
        <w:rPr>
          <w:vertAlign w:val="subscript"/>
        </w:rPr>
        <w:t>1</w:t>
      </w:r>
      <w:r w:rsidRPr="00510AD0">
        <w:t xml:space="preserve"> * small (DAP</w:t>
      </w:r>
      <w:r w:rsidRPr="00510AD0">
        <w:rPr>
          <w:vertAlign w:val="subscript"/>
        </w:rPr>
        <w:t>1</w:t>
      </w:r>
      <w:r w:rsidRPr="00510AD0">
        <w:t>) + Wt2</w:t>
      </w:r>
      <w:r w:rsidRPr="00510AD0">
        <w:rPr>
          <w:vertAlign w:val="subscript"/>
        </w:rPr>
        <w:t xml:space="preserve">1 </w:t>
      </w:r>
      <w:r w:rsidRPr="00510AD0">
        <w:t>* small (DAP</w:t>
      </w:r>
      <w:r w:rsidRPr="00510AD0">
        <w:rPr>
          <w:vertAlign w:val="subscript"/>
        </w:rPr>
        <w:t>2</w:t>
      </w:r>
      <w:r w:rsidRPr="00510AD0">
        <w:t>) + Wt3</w:t>
      </w:r>
      <w:r w:rsidRPr="00510AD0">
        <w:rPr>
          <w:vertAlign w:val="subscript"/>
        </w:rPr>
        <w:t xml:space="preserve">1 </w:t>
      </w:r>
      <w:r w:rsidRPr="00510AD0">
        <w:t>* small (DAP</w:t>
      </w:r>
      <w:r w:rsidRPr="00510AD0">
        <w:rPr>
          <w:vertAlign w:val="subscript"/>
        </w:rPr>
        <w:t>3</w:t>
      </w:r>
      <w:r w:rsidRPr="00510AD0">
        <w:t>)} – VOM)]</w:t>
      </w:r>
    </w:p>
    <w:p w14:paraId="2551DED1" w14:textId="77777777" w:rsidR="0055205C" w:rsidRPr="00510AD0" w:rsidRDefault="0055205C" w:rsidP="00E907E0">
      <w:pPr>
        <w:tabs>
          <w:tab w:val="left" w:pos="1170"/>
        </w:tabs>
        <w:spacing w:after="240"/>
        <w:ind w:left="720"/>
      </w:pPr>
      <w:r w:rsidRPr="00510AD0">
        <w:lastRenderedPageBreak/>
        <w:t xml:space="preserve">= Max [$0, ($47.00/MWh – {(1 * $12.00/MWh) + (0.333 * $12.00/MWh) + (0 * </w:t>
      </w:r>
      <w:bookmarkStart w:id="967" w:name="DocXTextRef453"/>
      <w:r w:rsidRPr="00510AD0">
        <w:t>12.00</w:t>
      </w:r>
      <w:bookmarkEnd w:id="967"/>
      <w:r w:rsidRPr="00510AD0">
        <w:t>/MWh)} – $10.00/MWh)]</w:t>
      </w:r>
    </w:p>
    <w:p w14:paraId="50DDCF71" w14:textId="77777777" w:rsidR="0055205C" w:rsidRPr="00510AD0" w:rsidRDefault="0055205C" w:rsidP="00E907E0">
      <w:pPr>
        <w:tabs>
          <w:tab w:val="left" w:pos="1170"/>
        </w:tabs>
        <w:spacing w:after="240"/>
        <w:ind w:left="720"/>
      </w:pPr>
      <w:r w:rsidRPr="00510AD0">
        <w:t>= Max [$0, ($47.00/MWh – {$12.00/MWh + $4.00/MWh + $0.00/MWh} - $10.00/MWh)]</w:t>
      </w:r>
    </w:p>
    <w:p w14:paraId="686C01E2" w14:textId="77777777" w:rsidR="0055205C" w:rsidRPr="00510AD0" w:rsidRDefault="0055205C" w:rsidP="00E907E0">
      <w:pPr>
        <w:tabs>
          <w:tab w:val="left" w:pos="1170"/>
        </w:tabs>
        <w:spacing w:after="240"/>
        <w:ind w:left="720"/>
      </w:pPr>
      <w:r w:rsidRPr="00510AD0">
        <w:t>= Max [$0, ($47.00/MWh – $16.00/MWh - $10.00/MWh)]</w:t>
      </w:r>
    </w:p>
    <w:p w14:paraId="12912128" w14:textId="77777777" w:rsidR="0055205C" w:rsidRPr="00510AD0" w:rsidRDefault="0055205C" w:rsidP="00E907E0">
      <w:pPr>
        <w:tabs>
          <w:tab w:val="left" w:pos="1170"/>
        </w:tabs>
        <w:spacing w:after="240"/>
        <w:ind w:left="720"/>
      </w:pPr>
      <w:r w:rsidRPr="00510AD0">
        <w:t>= Max [$0, $21.00]</w:t>
      </w:r>
    </w:p>
    <w:p w14:paraId="64B1BE24" w14:textId="77777777" w:rsidR="0055205C" w:rsidRPr="00510AD0" w:rsidRDefault="0055205C" w:rsidP="00E907E0">
      <w:pPr>
        <w:tabs>
          <w:tab w:val="left" w:pos="1170"/>
        </w:tabs>
        <w:spacing w:after="240"/>
        <w:ind w:left="720"/>
      </w:pPr>
      <w:r w:rsidRPr="00510AD0">
        <w:t>= $21.00</w:t>
      </w:r>
    </w:p>
    <w:p w14:paraId="11D85747" w14:textId="77777777" w:rsidR="0055205C" w:rsidRPr="00510AD0" w:rsidRDefault="0055205C" w:rsidP="00E907E0">
      <w:pPr>
        <w:spacing w:after="240"/>
      </w:pPr>
      <w:r w:rsidRPr="00510AD0">
        <w:t xml:space="preserve">Where i = </w:t>
      </w:r>
      <w:bookmarkStart w:id="968" w:name="DocXTextRef454"/>
      <w:r w:rsidRPr="00510AD0">
        <w:t>2</w:t>
      </w:r>
      <w:bookmarkEnd w:id="968"/>
      <w:r w:rsidRPr="00510AD0">
        <w:t>, Max [0, (Large (DAP</w:t>
      </w:r>
      <w:r w:rsidRPr="00510AD0">
        <w:rPr>
          <w:vertAlign w:val="subscript"/>
        </w:rPr>
        <w:t>2</w:t>
      </w:r>
      <w:r w:rsidRPr="00510AD0">
        <w:t>) – {Wt1</w:t>
      </w:r>
      <w:r w:rsidRPr="00510AD0">
        <w:rPr>
          <w:vertAlign w:val="subscript"/>
        </w:rPr>
        <w:t>2</w:t>
      </w:r>
      <w:r w:rsidRPr="00510AD0">
        <w:t xml:space="preserve"> * small (DAP</w:t>
      </w:r>
      <w:r w:rsidRPr="00510AD0">
        <w:rPr>
          <w:vertAlign w:val="subscript"/>
        </w:rPr>
        <w:t>2</w:t>
      </w:r>
      <w:r w:rsidRPr="00510AD0">
        <w:t>) + Wt2</w:t>
      </w:r>
      <w:r w:rsidRPr="00510AD0">
        <w:rPr>
          <w:vertAlign w:val="subscript"/>
        </w:rPr>
        <w:t xml:space="preserve">2 </w:t>
      </w:r>
      <w:r w:rsidRPr="00510AD0">
        <w:t>* small (DAP</w:t>
      </w:r>
      <w:r w:rsidRPr="00510AD0">
        <w:rPr>
          <w:vertAlign w:val="subscript"/>
        </w:rPr>
        <w:t>3</w:t>
      </w:r>
      <w:r w:rsidRPr="00510AD0">
        <w:t>) + Wt3</w:t>
      </w:r>
      <w:r w:rsidRPr="00510AD0">
        <w:rPr>
          <w:vertAlign w:val="subscript"/>
        </w:rPr>
        <w:t xml:space="preserve">2 </w:t>
      </w:r>
      <w:r w:rsidRPr="00510AD0">
        <w:t>* small (DAP</w:t>
      </w:r>
      <w:r w:rsidRPr="00510AD0">
        <w:rPr>
          <w:vertAlign w:val="subscript"/>
        </w:rPr>
        <w:t>4</w:t>
      </w:r>
      <w:r w:rsidRPr="00510AD0">
        <w:t xml:space="preserve">)} - VOM)] </w:t>
      </w:r>
    </w:p>
    <w:p w14:paraId="3398FD5C" w14:textId="77777777" w:rsidR="0055205C" w:rsidRPr="00510AD0" w:rsidRDefault="0055205C" w:rsidP="00E907E0">
      <w:pPr>
        <w:spacing w:after="240"/>
        <w:ind w:left="720" w:firstLine="60"/>
      </w:pPr>
      <w:r w:rsidRPr="00510AD0">
        <w:t>= Max [$0, ($41.00/MWh – {(0.667 * $12.00/MWh) + (0.667 * $12.00/MWh) + (0 * $15.00/MWh)} – $10.00/MWh)]</w:t>
      </w:r>
    </w:p>
    <w:p w14:paraId="0F3C7F9A" w14:textId="77777777" w:rsidR="0055205C" w:rsidRPr="00510AD0" w:rsidRDefault="0055205C" w:rsidP="00E907E0">
      <w:pPr>
        <w:spacing w:after="240"/>
        <w:ind w:left="720" w:firstLine="60"/>
      </w:pPr>
      <w:r w:rsidRPr="00510AD0">
        <w:t>= Max [$0, ($41.00/MWh – {$8.00/MWh + $8.00/MWh + $0.00} - $10.00/MWh)]</w:t>
      </w:r>
    </w:p>
    <w:p w14:paraId="1EF7EDDF" w14:textId="77777777" w:rsidR="0055205C" w:rsidRPr="00510AD0" w:rsidRDefault="0055205C" w:rsidP="00E907E0">
      <w:pPr>
        <w:spacing w:after="240"/>
        <w:ind w:left="720" w:firstLine="60"/>
      </w:pPr>
      <w:r w:rsidRPr="00510AD0">
        <w:t>= Max [$0, ($41.00/MWh – $16.00/MWh - $10.00/MWh)]</w:t>
      </w:r>
    </w:p>
    <w:p w14:paraId="286D3CF6" w14:textId="77777777" w:rsidR="0055205C" w:rsidRPr="00510AD0" w:rsidRDefault="0055205C" w:rsidP="00E907E0">
      <w:pPr>
        <w:spacing w:after="240"/>
        <w:ind w:firstLine="720"/>
      </w:pPr>
      <w:r w:rsidRPr="00510AD0">
        <w:t xml:space="preserve"> = Max [$0, $15.00]</w:t>
      </w:r>
    </w:p>
    <w:p w14:paraId="01C85EA5" w14:textId="77777777" w:rsidR="0055205C" w:rsidRPr="00510AD0" w:rsidRDefault="0055205C" w:rsidP="00E907E0">
      <w:pPr>
        <w:spacing w:after="240"/>
        <w:ind w:firstLine="720"/>
      </w:pPr>
      <w:r w:rsidRPr="00510AD0">
        <w:t xml:space="preserve"> = $15.00</w:t>
      </w:r>
    </w:p>
    <w:p w14:paraId="7EE39909" w14:textId="77777777" w:rsidR="0055205C" w:rsidRPr="00510AD0" w:rsidRDefault="0055205C" w:rsidP="00E907E0">
      <w:pPr>
        <w:spacing w:after="240"/>
      </w:pPr>
      <w:r w:rsidRPr="00510AD0">
        <w:t xml:space="preserve">Where i = </w:t>
      </w:r>
      <w:bookmarkStart w:id="969" w:name="DocXTextRef455"/>
      <w:r w:rsidRPr="00510AD0">
        <w:t>3</w:t>
      </w:r>
      <w:bookmarkEnd w:id="969"/>
      <w:r w:rsidRPr="00510AD0">
        <w:t>, Max [0, Large (DAP</w:t>
      </w:r>
      <w:r w:rsidRPr="00510AD0">
        <w:rPr>
          <w:vertAlign w:val="subscript"/>
        </w:rPr>
        <w:t>3</w:t>
      </w:r>
      <w:r w:rsidRPr="00510AD0">
        <w:t>) – {Wt1</w:t>
      </w:r>
      <w:r w:rsidRPr="00510AD0">
        <w:rPr>
          <w:vertAlign w:val="subscript"/>
        </w:rPr>
        <w:t>3</w:t>
      </w:r>
      <w:r w:rsidRPr="00510AD0">
        <w:t xml:space="preserve"> * small (DAP</w:t>
      </w:r>
      <w:r w:rsidRPr="00510AD0">
        <w:rPr>
          <w:vertAlign w:val="subscript"/>
        </w:rPr>
        <w:t>3</w:t>
      </w:r>
      <w:r w:rsidRPr="00510AD0">
        <w:t>) + Wt2</w:t>
      </w:r>
      <w:r w:rsidRPr="00510AD0">
        <w:rPr>
          <w:vertAlign w:val="subscript"/>
        </w:rPr>
        <w:t xml:space="preserve">3 </w:t>
      </w:r>
      <w:r w:rsidRPr="00510AD0">
        <w:t>* small (DAP</w:t>
      </w:r>
      <w:r w:rsidRPr="00510AD0">
        <w:rPr>
          <w:vertAlign w:val="subscript"/>
        </w:rPr>
        <w:t>4</w:t>
      </w:r>
      <w:r w:rsidRPr="00510AD0">
        <w:t>) + Wt3</w:t>
      </w:r>
      <w:r w:rsidRPr="00510AD0">
        <w:rPr>
          <w:vertAlign w:val="subscript"/>
        </w:rPr>
        <w:t xml:space="preserve">3 </w:t>
      </w:r>
      <w:r w:rsidRPr="00510AD0">
        <w:t>* small (DAP</w:t>
      </w:r>
      <w:r w:rsidRPr="00510AD0">
        <w:rPr>
          <w:vertAlign w:val="subscript"/>
        </w:rPr>
        <w:t>5</w:t>
      </w:r>
      <w:r w:rsidRPr="00510AD0">
        <w:t>)} – VOM]</w:t>
      </w:r>
    </w:p>
    <w:p w14:paraId="7C72D7D8" w14:textId="77777777" w:rsidR="0055205C" w:rsidRPr="00510AD0" w:rsidRDefault="0055205C" w:rsidP="00E907E0">
      <w:pPr>
        <w:spacing w:after="240"/>
        <w:ind w:left="720"/>
      </w:pPr>
      <w:r w:rsidRPr="00510AD0">
        <w:t>= Max [$0, ($35.00/MWh – {(0.333 * $12.00/MWh) + (1* $15.00/MWh) + (0 * $16.00/MWh)} – $10.00/MWh)]</w:t>
      </w:r>
    </w:p>
    <w:p w14:paraId="5CCF67B0" w14:textId="77777777" w:rsidR="0055205C" w:rsidRPr="00510AD0" w:rsidRDefault="0055205C" w:rsidP="00E907E0">
      <w:pPr>
        <w:spacing w:after="240"/>
        <w:ind w:left="720"/>
      </w:pPr>
      <w:r w:rsidRPr="00510AD0">
        <w:t>= Max [$0, ($35.00/MWh – {$4.00/MWh + $15.00/MWh + $0.00/MWh} - $10.00/MWh)]</w:t>
      </w:r>
    </w:p>
    <w:p w14:paraId="1BC9AC46" w14:textId="77777777" w:rsidR="0055205C" w:rsidRPr="00510AD0" w:rsidRDefault="0055205C" w:rsidP="00E907E0">
      <w:pPr>
        <w:spacing w:after="240"/>
        <w:ind w:left="720"/>
      </w:pPr>
      <w:r w:rsidRPr="00510AD0">
        <w:t>= Max [$0, ($35.00/MWh - $19.00/MWh - $10.00/MWh)]</w:t>
      </w:r>
    </w:p>
    <w:p w14:paraId="22E2AB09" w14:textId="77777777" w:rsidR="0055205C" w:rsidRPr="00510AD0" w:rsidRDefault="0055205C" w:rsidP="00E907E0">
      <w:pPr>
        <w:spacing w:after="240"/>
        <w:ind w:firstLine="720"/>
      </w:pPr>
      <w:r w:rsidRPr="00510AD0">
        <w:t>= Max [$0, $6.00]</w:t>
      </w:r>
    </w:p>
    <w:p w14:paraId="6CC8352F" w14:textId="77777777" w:rsidR="0055205C" w:rsidRPr="00510AD0" w:rsidRDefault="0055205C" w:rsidP="00E907E0">
      <w:pPr>
        <w:spacing w:after="240"/>
        <w:ind w:firstLine="720"/>
      </w:pPr>
      <w:r w:rsidRPr="00510AD0">
        <w:t>= $6.00</w:t>
      </w:r>
    </w:p>
    <w:p w14:paraId="57AD3FC3" w14:textId="77777777" w:rsidR="0055205C" w:rsidRPr="00510AD0" w:rsidRDefault="0055205C" w:rsidP="00E907E0">
      <w:pPr>
        <w:spacing w:after="240"/>
      </w:pPr>
      <w:r w:rsidRPr="00510AD0">
        <w:t xml:space="preserve">Where i = </w:t>
      </w:r>
      <w:bookmarkStart w:id="970" w:name="DocXTextRef456"/>
      <w:r w:rsidRPr="00510AD0">
        <w:t>4</w:t>
      </w:r>
      <w:bookmarkEnd w:id="970"/>
      <w:r w:rsidRPr="00510AD0">
        <w:t>, Max [0, (Large (DAP</w:t>
      </w:r>
      <w:r w:rsidRPr="00510AD0">
        <w:rPr>
          <w:vertAlign w:val="subscript"/>
        </w:rPr>
        <w:t>4</w:t>
      </w:r>
      <w:r w:rsidRPr="00510AD0">
        <w:t>) – {Wt1</w:t>
      </w:r>
      <w:r w:rsidRPr="00510AD0">
        <w:rPr>
          <w:vertAlign w:val="subscript"/>
        </w:rPr>
        <w:t>4</w:t>
      </w:r>
      <w:r w:rsidRPr="00510AD0">
        <w:t xml:space="preserve"> * small (DAP</w:t>
      </w:r>
      <w:r w:rsidRPr="00510AD0">
        <w:rPr>
          <w:vertAlign w:val="subscript"/>
        </w:rPr>
        <w:t>4</w:t>
      </w:r>
      <w:r w:rsidRPr="00510AD0">
        <w:t>) + Wt2</w:t>
      </w:r>
      <w:r w:rsidRPr="00510AD0">
        <w:rPr>
          <w:vertAlign w:val="subscript"/>
        </w:rPr>
        <w:t xml:space="preserve">4 </w:t>
      </w:r>
      <w:r w:rsidRPr="00510AD0">
        <w:t>* small (DAP</w:t>
      </w:r>
      <w:r w:rsidRPr="00510AD0">
        <w:rPr>
          <w:vertAlign w:val="subscript"/>
        </w:rPr>
        <w:t>5</w:t>
      </w:r>
      <w:r w:rsidRPr="00510AD0">
        <w:t>) + Wt3</w:t>
      </w:r>
      <w:r w:rsidRPr="00510AD0">
        <w:rPr>
          <w:vertAlign w:val="subscript"/>
        </w:rPr>
        <w:t xml:space="preserve">4 </w:t>
      </w:r>
      <w:r w:rsidRPr="00510AD0">
        <w:t>* small (DAP</w:t>
      </w:r>
      <w:r w:rsidRPr="00510AD0">
        <w:rPr>
          <w:vertAlign w:val="subscript"/>
        </w:rPr>
        <w:t>6</w:t>
      </w:r>
      <w:r w:rsidRPr="00510AD0">
        <w:t>)} – VOM)]</w:t>
      </w:r>
    </w:p>
    <w:p w14:paraId="2C740710" w14:textId="77777777" w:rsidR="0055205C" w:rsidRPr="00510AD0" w:rsidRDefault="0055205C" w:rsidP="00E907E0">
      <w:pPr>
        <w:spacing w:after="240"/>
        <w:ind w:left="720" w:firstLine="60"/>
      </w:pPr>
      <w:r w:rsidRPr="00510AD0">
        <w:t>= Max [0, ($32.00/MWh – {(0 * $15.00/MWh) + (1 * $16.00/MWh) + (0.333 * $18.00/MWh)} – $10.00/MWh)]</w:t>
      </w:r>
    </w:p>
    <w:p w14:paraId="7A3FC7E0" w14:textId="77777777" w:rsidR="0055205C" w:rsidRPr="00510AD0" w:rsidRDefault="0055205C" w:rsidP="00E907E0">
      <w:pPr>
        <w:spacing w:after="240"/>
        <w:ind w:left="720" w:firstLine="60"/>
      </w:pPr>
      <w:r w:rsidRPr="00510AD0">
        <w:t>= Max [0, ($32.00/MWh – {$0.00/MWh + $16.00/MWh + $6.00/MWh} - $10.00/MWh)]</w:t>
      </w:r>
    </w:p>
    <w:p w14:paraId="7BE3DF1F" w14:textId="77777777" w:rsidR="0055205C" w:rsidRPr="00510AD0" w:rsidRDefault="0055205C" w:rsidP="00E907E0">
      <w:pPr>
        <w:spacing w:after="240"/>
        <w:ind w:left="720" w:firstLine="60"/>
      </w:pPr>
      <w:r w:rsidRPr="00510AD0">
        <w:lastRenderedPageBreak/>
        <w:t>= Max [0, ($32.00/MWh – $22.00/MWh - $10.00/MWh)]</w:t>
      </w:r>
    </w:p>
    <w:p w14:paraId="6FF3A71D" w14:textId="77777777" w:rsidR="0055205C" w:rsidRPr="00510AD0" w:rsidRDefault="0055205C" w:rsidP="00E907E0">
      <w:pPr>
        <w:spacing w:after="240"/>
        <w:ind w:left="720" w:firstLine="60"/>
      </w:pPr>
      <w:r w:rsidRPr="00510AD0">
        <w:t>= Max [$0, $0]</w:t>
      </w:r>
    </w:p>
    <w:p w14:paraId="715EF14D" w14:textId="77777777" w:rsidR="0055205C" w:rsidRPr="00510AD0" w:rsidRDefault="0055205C" w:rsidP="00E907E0">
      <w:pPr>
        <w:spacing w:after="240"/>
        <w:ind w:left="720"/>
      </w:pPr>
      <w:r w:rsidRPr="00510AD0">
        <w:t>= $0.00</w:t>
      </w:r>
    </w:p>
    <w:p w14:paraId="625C1B38" w14:textId="77777777" w:rsidR="0055205C" w:rsidRPr="00510AD0" w:rsidRDefault="0055205C" w:rsidP="00B52660">
      <w:pPr>
        <w:pStyle w:val="BodyTextLeft"/>
        <w:rPr>
          <w:u w:val="single"/>
        </w:rPr>
      </w:pPr>
      <w:r w:rsidRPr="00510AD0">
        <w:rPr>
          <w:u w:val="single"/>
        </w:rPr>
        <w:t>Step 3:</w:t>
      </w:r>
    </w:p>
    <w:p w14:paraId="028D241D" w14:textId="77777777" w:rsidR="0055205C" w:rsidRPr="00510AD0" w:rsidRDefault="0055205C" w:rsidP="00B52660">
      <w:pPr>
        <w:pStyle w:val="BodyTextLeft"/>
      </w:pPr>
      <w:r w:rsidRPr="00510AD0">
        <w:t xml:space="preserve">Sum the amounts calculated in Step </w:t>
      </w:r>
      <w:bookmarkStart w:id="971" w:name="DocXTextRef457"/>
      <w:r w:rsidRPr="00510AD0">
        <w:t>2</w:t>
      </w:r>
      <w:bookmarkEnd w:id="971"/>
      <w:r w:rsidRPr="00510AD0">
        <w:t>.</w:t>
      </w:r>
    </w:p>
    <w:p w14:paraId="7BAF2E2B" w14:textId="77777777" w:rsidR="0055205C" w:rsidRPr="00510AD0" w:rsidRDefault="0055205C" w:rsidP="00E907E0">
      <w:pPr>
        <w:spacing w:after="240"/>
        <w:ind w:left="720"/>
      </w:pPr>
      <w:r w:rsidRPr="00510AD0">
        <w:t>= ($21.00 + $15.00 + $6.00 + $0.00)</w:t>
      </w:r>
    </w:p>
    <w:p w14:paraId="0A8B2C53" w14:textId="77777777" w:rsidR="0055205C" w:rsidRPr="00510AD0" w:rsidRDefault="0055205C" w:rsidP="00E907E0">
      <w:pPr>
        <w:spacing w:after="240"/>
        <w:ind w:firstLine="720"/>
      </w:pPr>
      <w:r w:rsidRPr="00510AD0">
        <w:t>= $42.00</w:t>
      </w:r>
    </w:p>
    <w:p w14:paraId="18302A92" w14:textId="4FA42B20" w:rsidR="0055205C" w:rsidRPr="00510AD0" w:rsidRDefault="0055205C" w:rsidP="00B52660">
      <w:pPr>
        <w:pStyle w:val="BodyTextLeft"/>
      </w:pPr>
      <w:r w:rsidRPr="00510AD0">
        <w:t xml:space="preserve">In this example, the Energy Settlement for July 1 is $42.00. This value will then be multiplied by the Energy Settlement Payment Quantity per Section </w:t>
      </w:r>
      <w:r w:rsidR="00286173" w:rsidRPr="00510AD0">
        <w:fldChar w:fldCharType="begin"/>
      </w:r>
      <w:r w:rsidR="00286173" w:rsidRPr="00510AD0">
        <w:instrText xml:space="preserve">  REF _Ref69141605 \w \h \* MERGEFORMAT </w:instrText>
      </w:r>
      <w:r w:rsidR="00286173" w:rsidRPr="00510AD0">
        <w:fldChar w:fldCharType="separate"/>
      </w:r>
      <w:r w:rsidR="007751F5" w:rsidRPr="00510AD0">
        <w:rPr>
          <w:color w:val="000000"/>
        </w:rPr>
        <w:t>6.2</w:t>
      </w:r>
      <w:r w:rsidR="00286173" w:rsidRPr="00510AD0">
        <w:fldChar w:fldCharType="end"/>
      </w:r>
      <w:r w:rsidRPr="00510AD0">
        <w:t xml:space="preserve"> of the Agreement.</w:t>
      </w:r>
    </w:p>
    <w:p w14:paraId="0ADDE248" w14:textId="77777777" w:rsidR="0055205C" w:rsidRPr="00510AD0" w:rsidRDefault="0055205C" w:rsidP="00E907E0">
      <w:pPr>
        <w:spacing w:after="240"/>
        <w:sectPr w:rsidR="0055205C" w:rsidRPr="00510AD0" w:rsidSect="0077573F">
          <w:footerReference w:type="default" r:id="rId57"/>
          <w:footerReference w:type="first" r:id="rId58"/>
          <w:pgSz w:w="12240" w:h="15840"/>
          <w:pgMar w:top="1440" w:right="1440" w:bottom="1440" w:left="1440" w:header="432" w:footer="432" w:gutter="0"/>
          <w:pgNumType w:start="1"/>
          <w:cols w:space="720"/>
          <w:docGrid w:linePitch="360"/>
        </w:sectPr>
      </w:pPr>
    </w:p>
    <w:bookmarkEnd w:id="940"/>
    <w:p w14:paraId="7D3EA351" w14:textId="70FF5E15" w:rsidR="0055205C" w:rsidRPr="00510AD0" w:rsidRDefault="0055205C" w:rsidP="00027CC8">
      <w:pPr>
        <w:pStyle w:val="Appendix"/>
      </w:pPr>
      <w:r w:rsidRPr="00510AD0">
        <w:lastRenderedPageBreak/>
        <w:t>APPENDIX XIV</w:t>
      </w:r>
      <w:r w:rsidRPr="00510AD0">
        <w:br/>
      </w:r>
      <w:r w:rsidRPr="00510AD0">
        <w:br/>
      </w:r>
      <w:r w:rsidR="00AC23B3" w:rsidRPr="00510AD0">
        <w:t>[</w:t>
      </w:r>
      <w:r w:rsidRPr="00510AD0">
        <w:t>PROJECT SPECIFIC REQUIREMENTS</w:t>
      </w:r>
      <w:r w:rsidR="00AC23B3" w:rsidRPr="00510AD0">
        <w:t>]</w:t>
      </w:r>
      <w:r w:rsidR="0081166A" w:rsidRPr="00510AD0">
        <w:rPr>
          <w:rStyle w:val="FootnoteReference"/>
        </w:rPr>
        <w:footnoteReference w:id="61"/>
      </w:r>
    </w:p>
    <w:p w14:paraId="3E7D890C" w14:textId="77777777" w:rsidR="0081166A" w:rsidRPr="00510AD0" w:rsidRDefault="0081166A" w:rsidP="00B52660">
      <w:pPr>
        <w:pStyle w:val="BodyTextLeft"/>
        <w:rPr>
          <w:b/>
          <w:bCs/>
        </w:rPr>
      </w:pPr>
    </w:p>
    <w:p w14:paraId="670C5F59" w14:textId="4DDD511C" w:rsidR="0055205C" w:rsidRPr="00510AD0" w:rsidRDefault="0055205C" w:rsidP="00B52660">
      <w:pPr>
        <w:pStyle w:val="BodyTextLeft"/>
        <w:rPr>
          <w:b/>
          <w:i/>
        </w:rPr>
      </w:pPr>
      <w:r w:rsidRPr="00510AD0">
        <w:rPr>
          <w:b/>
          <w:bCs/>
        </w:rPr>
        <w:t xml:space="preserve">Part </w:t>
      </w:r>
      <w:bookmarkStart w:id="973" w:name="DocXTextRef460"/>
      <w:r w:rsidRPr="00510AD0">
        <w:rPr>
          <w:b/>
          <w:bCs/>
        </w:rPr>
        <w:t>1</w:t>
      </w:r>
      <w:bookmarkEnd w:id="973"/>
      <w:r w:rsidRPr="00510AD0">
        <w:rPr>
          <w:b/>
          <w:bCs/>
        </w:rPr>
        <w:t>: Conditions Precedent</w:t>
      </w:r>
      <w:r w:rsidRPr="00510AD0">
        <w:rPr>
          <w:b/>
          <w:i/>
        </w:rPr>
        <w:t xml:space="preserve"> </w:t>
      </w:r>
    </w:p>
    <w:p w14:paraId="60B2BC29" w14:textId="77777777" w:rsidR="0055205C" w:rsidRPr="00510AD0" w:rsidRDefault="0055205C" w:rsidP="00B52660">
      <w:pPr>
        <w:pStyle w:val="BodyTextLeft"/>
      </w:pPr>
      <w:bookmarkStart w:id="974" w:name="_Hlk68219093"/>
      <w:r w:rsidRPr="00510AD0">
        <w:t>With respect to Behind the Meter Project:</w:t>
      </w:r>
    </w:p>
    <w:p w14:paraId="43E96123" w14:textId="77777777" w:rsidR="0055205C" w:rsidRPr="00510AD0" w:rsidRDefault="0055205C" w:rsidP="00E907E0">
      <w:pPr>
        <w:pStyle w:val="CapStorageParaa"/>
        <w:numPr>
          <w:ilvl w:val="0"/>
          <w:numId w:val="5"/>
        </w:numPr>
      </w:pPr>
      <w:bookmarkStart w:id="975" w:name="_Ref69141843"/>
      <w:bookmarkEnd w:id="974"/>
      <w:r w:rsidRPr="00510AD0">
        <w:t>At Seller’s expense, Seller shall have executed all agreements with Customers whose Units are to be a part of the Project as of the Initial Delivery Date as necessary for the safe and lawful operation and maintenance of the Project and to enable Seller to deliver the Product to Buyer.</w:t>
      </w:r>
      <w:bookmarkEnd w:id="975"/>
    </w:p>
    <w:p w14:paraId="6B40594C" w14:textId="77777777" w:rsidR="0055205C" w:rsidRPr="00510AD0" w:rsidRDefault="0055205C" w:rsidP="00E907E0">
      <w:pPr>
        <w:pStyle w:val="CapStorageParaa"/>
        <w:numPr>
          <w:ilvl w:val="0"/>
          <w:numId w:val="5"/>
        </w:numPr>
      </w:pPr>
      <w:bookmarkStart w:id="976" w:name="_Ref69141844"/>
      <w:r w:rsidRPr="00510AD0">
        <w:t xml:space="preserve">Seller shall have provided to Buyer a certification of Seller and a Licensed Professional Engineer, substantially in the form attached hereto as </w:t>
      </w:r>
      <w:r w:rsidRPr="00510AD0">
        <w:rPr>
          <w:u w:val="single"/>
        </w:rPr>
        <w:t>Appendix VI-A</w:t>
      </w:r>
      <w:r w:rsidRPr="00510AD0">
        <w:t>, demonstrating  the satisfactory completion of the Unit(s) at the Sites that are comprising the Project as set forth in Seller’s Initial Portfolio List as of the Initial Delivery Date and that the Unit(s) comprising the Project as set forth in Seller’s Initial Portfolio List can deliver, in aggregate, the Product.</w:t>
      </w:r>
      <w:bookmarkEnd w:id="976"/>
    </w:p>
    <w:p w14:paraId="1EAEB3CB" w14:textId="41BA4428" w:rsidR="0055205C" w:rsidRPr="00510AD0" w:rsidRDefault="0055205C" w:rsidP="00E907E0">
      <w:pPr>
        <w:pStyle w:val="CapStorageParaa"/>
        <w:numPr>
          <w:ilvl w:val="0"/>
          <w:numId w:val="5"/>
        </w:numPr>
      </w:pPr>
      <w:bookmarkStart w:id="977" w:name="_Ref69141845"/>
      <w:r w:rsidRPr="00510AD0">
        <w:t xml:space="preserve">At least ninety (90) days prior to the Initial Delivery Date, Seller shall have provided Buyer with </w:t>
      </w:r>
      <w:bookmarkStart w:id="978" w:name="DocXTextRef464"/>
      <w:r w:rsidRPr="00510AD0">
        <w:t>(i)</w:t>
      </w:r>
      <w:bookmarkEnd w:id="978"/>
      <w:r w:rsidRPr="00510AD0">
        <w:t xml:space="preserve"> the Seller’s Portfolio List in accordance with Part </w:t>
      </w:r>
      <w:bookmarkStart w:id="979" w:name="DocXTextRef462"/>
      <w:r w:rsidRPr="00510AD0">
        <w:t>3</w:t>
      </w:r>
      <w:bookmarkEnd w:id="979"/>
      <w:r w:rsidRPr="00510AD0">
        <w:t xml:space="preserve"> of this </w:t>
      </w:r>
      <w:r w:rsidRPr="00510AD0">
        <w:rPr>
          <w:u w:val="single"/>
        </w:rPr>
        <w:t>Appendix XIV</w:t>
      </w:r>
      <w:r w:rsidRPr="00510AD0">
        <w:t xml:space="preserve"> that demonstrates Units and Customers under contract to Seller sufficient for Seller to deliver Product, as of the Initial Delivery Date (“</w:t>
      </w:r>
      <w:r w:rsidRPr="00510AD0">
        <w:rPr>
          <w:u w:val="single"/>
        </w:rPr>
        <w:t>Seller’s Initial Portfolio List</w:t>
      </w:r>
      <w:r w:rsidRPr="00510AD0">
        <w:t xml:space="preserve">”) and (ii) a description of the Project and Units set forth in </w:t>
      </w:r>
      <w:r w:rsidRPr="00510AD0">
        <w:rPr>
          <w:u w:val="single"/>
        </w:rPr>
        <w:t>Appendix II</w:t>
      </w:r>
      <w:r w:rsidRPr="00510AD0">
        <w:t xml:space="preserve">.  If Seller provides to Buyer Seller’s Initial Portfolio List pursuant to the first sentence of this clause (c) but prior to the occurrence of the Initial Delivery Date Seller changes Seller’s Initial Portfolio List, then the Condition Precedent in Section </w:t>
      </w:r>
      <w:r w:rsidR="00286173" w:rsidRPr="00510AD0">
        <w:fldChar w:fldCharType="begin"/>
      </w:r>
      <w:r w:rsidR="00286173" w:rsidRPr="00510AD0">
        <w:instrText xml:space="preserve">  REF _Ref69141561 \w \h \* MERGEFORMAT </w:instrText>
      </w:r>
      <w:r w:rsidR="00286173" w:rsidRPr="00510AD0">
        <w:fldChar w:fldCharType="separate"/>
      </w:r>
      <w:r w:rsidR="007751F5" w:rsidRPr="00510AD0">
        <w:rPr>
          <w:color w:val="000000"/>
        </w:rPr>
        <w:t>2.1(k)</w:t>
      </w:r>
      <w:r w:rsidR="00286173" w:rsidRPr="00510AD0">
        <w:fldChar w:fldCharType="end"/>
      </w:r>
      <w:r w:rsidRPr="00510AD0">
        <w:t xml:space="preserve"> shall not be satisfied and the date on which Seller provides to Buyer a changed Seller’s Initial Portfolio List in accordance with this clause (c) and Part </w:t>
      </w:r>
      <w:bookmarkStart w:id="980" w:name="DocXTextRef463"/>
      <w:r w:rsidRPr="00510AD0">
        <w:t>3</w:t>
      </w:r>
      <w:bookmarkEnd w:id="980"/>
      <w:r w:rsidRPr="00510AD0">
        <w:t xml:space="preserve"> clause (e) below shall constitute provision of Seller’s Initial Portfolio List for purposes of this clause (c).</w:t>
      </w:r>
      <w:bookmarkEnd w:id="977"/>
    </w:p>
    <w:p w14:paraId="2F343DE7" w14:textId="70F43A39" w:rsidR="0055205C" w:rsidRPr="00510AD0" w:rsidRDefault="0055205C" w:rsidP="00B52660">
      <w:pPr>
        <w:pStyle w:val="BodyTextLeft"/>
        <w:rPr>
          <w:b/>
          <w:bCs/>
          <w:i/>
          <w:iCs/>
        </w:rPr>
      </w:pPr>
      <w:r w:rsidRPr="00510AD0">
        <w:rPr>
          <w:b/>
          <w:i/>
        </w:rPr>
        <w:t xml:space="preserve">[Drafting Note: Add any Project technology specific conditions precedent, e.g. for energy storage add:  </w:t>
      </w:r>
      <w:r w:rsidRPr="00510AD0">
        <w:t xml:space="preserve">“Seller shall have provided to Buyer an attestation, in the form attached hereto as </w:t>
      </w:r>
      <w:r w:rsidRPr="00510AD0">
        <w:rPr>
          <w:u w:val="single"/>
        </w:rPr>
        <w:t>Appendix XII</w:t>
      </w:r>
      <w:r w:rsidRPr="00510AD0">
        <w:t>, that Seller, or Project Company, as applicable, is following all of the rules set forth in the MUA Decision</w:t>
      </w:r>
      <w:bookmarkStart w:id="981" w:name="_Ref69141907"/>
      <w:r w:rsidRPr="00510AD0">
        <w:rPr>
          <w:rStyle w:val="FootnoteReference"/>
        </w:rPr>
        <w:footnoteReference w:id="62"/>
      </w:r>
      <w:bookmarkEnd w:id="981"/>
      <w:r w:rsidRPr="00510AD0">
        <w:t>.”</w:t>
      </w:r>
      <w:r w:rsidRPr="00510AD0">
        <w:rPr>
          <w:b/>
          <w:bCs/>
          <w:i/>
          <w:iCs/>
        </w:rPr>
        <w:t>]</w:t>
      </w:r>
    </w:p>
    <w:p w14:paraId="02378184" w14:textId="77777777" w:rsidR="0055205C" w:rsidRPr="00510AD0" w:rsidRDefault="0055205C" w:rsidP="00B52660">
      <w:pPr>
        <w:pStyle w:val="BodyTextLeft"/>
      </w:pPr>
      <w:r w:rsidRPr="00510AD0">
        <w:rPr>
          <w:b/>
          <w:bCs/>
          <w:i/>
          <w:iCs/>
        </w:rPr>
        <w:t>[__________________]</w:t>
      </w:r>
    </w:p>
    <w:p w14:paraId="26705A14" w14:textId="02321511" w:rsidR="0055205C" w:rsidRPr="00510AD0" w:rsidRDefault="0055205C" w:rsidP="00B52660">
      <w:pPr>
        <w:pStyle w:val="BodyTextLeft"/>
        <w:rPr>
          <w:b/>
          <w:i/>
        </w:rPr>
      </w:pPr>
      <w:r w:rsidRPr="00510AD0">
        <w:rPr>
          <w:b/>
          <w:bCs/>
        </w:rPr>
        <w:lastRenderedPageBreak/>
        <w:t xml:space="preserve">Part </w:t>
      </w:r>
      <w:bookmarkStart w:id="982" w:name="DocXTextRef465"/>
      <w:r w:rsidRPr="00510AD0">
        <w:rPr>
          <w:b/>
          <w:bCs/>
        </w:rPr>
        <w:t>2</w:t>
      </w:r>
      <w:bookmarkEnd w:id="982"/>
      <w:r w:rsidRPr="00510AD0">
        <w:rPr>
          <w:b/>
          <w:bCs/>
        </w:rPr>
        <w:t xml:space="preserve">: Information Sharing </w:t>
      </w:r>
      <w:r w:rsidRPr="00510AD0">
        <w:rPr>
          <w:b/>
          <w:i/>
        </w:rPr>
        <w:t xml:space="preserve"> [Drafting Note: Add any Project technology specific requirements for information sharing, e.g. for energy storage add:</w:t>
      </w:r>
      <w:r w:rsidRPr="00510AD0">
        <w:rPr>
          <w:b/>
          <w:bCs/>
        </w:rPr>
        <w:t xml:space="preserve"> “</w:t>
      </w:r>
      <w:r w:rsidRPr="00510AD0">
        <w:t>For information related to Seller’s multiple uses of the Project, Seller shall promptly provide Notice to Buyer any time it provides any services or products from the Project to a third party.”</w:t>
      </w:r>
      <w:r w:rsidRPr="00510AD0">
        <w:rPr>
          <w:b/>
          <w:i/>
        </w:rPr>
        <w:t>]</w:t>
      </w:r>
    </w:p>
    <w:p w14:paraId="3F3C82CA" w14:textId="77777777" w:rsidR="0055205C" w:rsidRPr="00510AD0" w:rsidRDefault="0055205C" w:rsidP="00B52660">
      <w:pPr>
        <w:pStyle w:val="BodyTextLeft"/>
      </w:pPr>
      <w:r w:rsidRPr="00510AD0">
        <w:rPr>
          <w:b/>
          <w:bCs/>
          <w:i/>
          <w:iCs/>
        </w:rPr>
        <w:t>[__________________]</w:t>
      </w:r>
    </w:p>
    <w:p w14:paraId="0F7261D8" w14:textId="77777777" w:rsidR="0055205C" w:rsidRPr="00510AD0" w:rsidRDefault="0055205C" w:rsidP="00B52660">
      <w:pPr>
        <w:pStyle w:val="BodyTextLeft"/>
        <w:rPr>
          <w:b/>
          <w:bCs/>
        </w:rPr>
      </w:pPr>
      <w:r w:rsidRPr="00510AD0">
        <w:rPr>
          <w:b/>
          <w:bCs/>
        </w:rPr>
        <w:t xml:space="preserve">Part </w:t>
      </w:r>
      <w:bookmarkStart w:id="983" w:name="DocXTextRef466"/>
      <w:r w:rsidRPr="00510AD0">
        <w:rPr>
          <w:b/>
          <w:bCs/>
        </w:rPr>
        <w:t>3</w:t>
      </w:r>
      <w:bookmarkEnd w:id="983"/>
      <w:r w:rsidRPr="00510AD0">
        <w:rPr>
          <w:b/>
          <w:bCs/>
        </w:rPr>
        <w:t xml:space="preserve">: Interconnection and Operations </w:t>
      </w:r>
    </w:p>
    <w:p w14:paraId="32204282" w14:textId="77777777" w:rsidR="0055205C" w:rsidRPr="00510AD0" w:rsidRDefault="0055205C" w:rsidP="00B52660">
      <w:pPr>
        <w:pStyle w:val="BodyTextLeft"/>
      </w:pPr>
      <w:r w:rsidRPr="00510AD0">
        <w:t>With respect to Behind the Meter Project:</w:t>
      </w:r>
    </w:p>
    <w:p w14:paraId="1AA4410E" w14:textId="77777777" w:rsidR="0055205C" w:rsidRPr="00510AD0" w:rsidRDefault="0055205C" w:rsidP="00E907E0">
      <w:pPr>
        <w:pStyle w:val="CapStorageParaa"/>
        <w:numPr>
          <w:ilvl w:val="0"/>
          <w:numId w:val="6"/>
        </w:numPr>
      </w:pPr>
      <w:bookmarkStart w:id="984" w:name="_Ref69141846"/>
      <w:r w:rsidRPr="00510AD0">
        <w:rPr>
          <w:u w:val="single"/>
        </w:rPr>
        <w:t>Seller Obligation to Obtain Customers</w:t>
      </w:r>
      <w:r w:rsidRPr="00510AD0">
        <w:t>.  Seller shall obtain or cause to be obtained, the Customers necessary to enable the safe and reliable delivery of the Product to Buyer during the Delivery Term.  Seller shall contract, or cause its Affiliate to contract, directly with Customers to [develop, install,] operate, and maintain the Project in order for Seller to deliver the Product during the Delivery Term.  Seller shall identify, or cause its Affiliate to identify, all such Customers, complete all necessary registration forms regarding such Customers, submit any necessary documentation regarding such Customers and comply with all other requirements of the Utility Distribution Company, CAISO, CPUC or any other applicable Governmental Authority.</w:t>
      </w:r>
      <w:bookmarkEnd w:id="984"/>
    </w:p>
    <w:p w14:paraId="2A608908" w14:textId="77777777" w:rsidR="0055205C" w:rsidRPr="00510AD0" w:rsidRDefault="0055205C" w:rsidP="00E907E0">
      <w:pPr>
        <w:pStyle w:val="CapStorageParaa"/>
        <w:numPr>
          <w:ilvl w:val="0"/>
          <w:numId w:val="6"/>
        </w:numPr>
      </w:pPr>
      <w:bookmarkStart w:id="985" w:name="_Ref69141847"/>
      <w:r w:rsidRPr="00510AD0">
        <w:rPr>
          <w:u w:val="single"/>
        </w:rPr>
        <w:t>Customers Eligible for Inclusion in Project</w:t>
      </w:r>
      <w:r w:rsidRPr="00510AD0">
        <w:t>.  Seller shall provide to Buyer the Product during the Delivery Term only from Units installed at Sites listed in Seller’s Portfolio List in accordance with clause (e) below.  Customers who are added to Seller’s Portfolio List after the Initial Delivery Date and during the Delivery Term must meet the definition of a “Customer” during the Delivery Term in order to be included in Seller’s Portfolio List.  Seller shall be responsible, at its sole cost and expense, for maintaining the metering, interconnection and data collection systems necessary to perform its obligations and complying with all Utility Distribution Company, CAISO, CPUC or any other applicable Governmental Authority rules and regulations required to deliver Product during the Delivery Term.</w:t>
      </w:r>
      <w:bookmarkEnd w:id="985"/>
    </w:p>
    <w:p w14:paraId="5475D4AB" w14:textId="77777777" w:rsidR="0055205C" w:rsidRPr="00510AD0" w:rsidRDefault="0055205C" w:rsidP="00E907E0">
      <w:pPr>
        <w:pStyle w:val="CapStorageParaa"/>
        <w:numPr>
          <w:ilvl w:val="0"/>
          <w:numId w:val="6"/>
        </w:numPr>
      </w:pPr>
      <w:bookmarkStart w:id="986" w:name="_Ref69141848"/>
      <w:r w:rsidRPr="00510AD0">
        <w:rPr>
          <w:u w:val="single"/>
        </w:rPr>
        <w:t>Seller’s Relationship with Customer</w:t>
      </w:r>
      <w:r w:rsidRPr="00510AD0">
        <w:t>.  The terms and conditions of the agreements governing the relationship between Seller or its Affiliate and a Customer with respect to such Customer’s participation in Seller’s Portfolio are independent of Buyer and Buyer shall have no responsibility with respect to such Customers or Seller’s Affiliate for purposes of Seller’s Portfolio.  Seller agrees to independently resolve, or shall cause its Affiliate to resolve, any disputes arising between Seller or its Affiliate and any Customer.</w:t>
      </w:r>
      <w:bookmarkEnd w:id="986"/>
      <w:r w:rsidRPr="00510AD0">
        <w:t xml:space="preserve"> </w:t>
      </w:r>
    </w:p>
    <w:p w14:paraId="476C7904" w14:textId="77777777" w:rsidR="0055205C" w:rsidRPr="00510AD0" w:rsidRDefault="0055205C" w:rsidP="00E907E0">
      <w:pPr>
        <w:pStyle w:val="CapStorageParaa"/>
        <w:numPr>
          <w:ilvl w:val="0"/>
          <w:numId w:val="6"/>
        </w:numPr>
      </w:pPr>
      <w:bookmarkStart w:id="987" w:name="_Ref69141849"/>
      <w:r w:rsidRPr="00510AD0">
        <w:rPr>
          <w:u w:val="single"/>
        </w:rPr>
        <w:t>Seller’s Portfolio</w:t>
      </w:r>
      <w:r w:rsidRPr="00510AD0">
        <w:t xml:space="preserve">.  Seller’s Portfolio will at all times solely contain the Customers associated with the Project.  The Parties agree and acknowledge that Seller may add or remove a Customer from Seller’s Portfolio at any time during the Delivery Term, subject to the requirements of this Part </w:t>
      </w:r>
      <w:bookmarkStart w:id="988" w:name="DocXTextRef468"/>
      <w:r w:rsidRPr="00510AD0">
        <w:t>3</w:t>
      </w:r>
      <w:bookmarkEnd w:id="988"/>
      <w:r w:rsidRPr="00510AD0">
        <w:t xml:space="preserve"> of </w:t>
      </w:r>
      <w:r w:rsidRPr="00510AD0">
        <w:rPr>
          <w:u w:val="single"/>
        </w:rPr>
        <w:t>Appendix XIV</w:t>
      </w:r>
      <w:r w:rsidRPr="00510AD0">
        <w:t xml:space="preserve"> and </w:t>
      </w:r>
      <w:bookmarkStart w:id="989" w:name="DocXTextRef467"/>
      <w:r w:rsidRPr="00510AD0">
        <w:t>Article XI</w:t>
      </w:r>
      <w:bookmarkEnd w:id="989"/>
      <w:r w:rsidRPr="00510AD0">
        <w:t>.  Notwithstanding the prior sentence, changes to Seller’s Portfolio shall not alter the Product Seller must deliver.</w:t>
      </w:r>
      <w:bookmarkEnd w:id="987"/>
    </w:p>
    <w:p w14:paraId="276B6094" w14:textId="37151AAF" w:rsidR="0055205C" w:rsidRPr="00510AD0" w:rsidRDefault="0055205C" w:rsidP="00E907E0">
      <w:pPr>
        <w:pStyle w:val="CapStorageParaa"/>
        <w:numPr>
          <w:ilvl w:val="0"/>
          <w:numId w:val="6"/>
        </w:numPr>
      </w:pPr>
      <w:bookmarkStart w:id="990" w:name="_Ref69141850"/>
      <w:r w:rsidRPr="00510AD0">
        <w:rPr>
          <w:u w:val="single"/>
        </w:rPr>
        <w:lastRenderedPageBreak/>
        <w:t>Seller’s Portfolio List</w:t>
      </w:r>
      <w:r w:rsidRPr="00510AD0">
        <w:t xml:space="preserve">.  As of the date first submitted in accordance with Section </w:t>
      </w:r>
      <w:r w:rsidR="00286173" w:rsidRPr="00510AD0">
        <w:fldChar w:fldCharType="begin"/>
      </w:r>
      <w:r w:rsidR="00286173" w:rsidRPr="00510AD0">
        <w:instrText xml:space="preserve">  REF _Ref69141561 \w \h \* MERGEFORMAT </w:instrText>
      </w:r>
      <w:r w:rsidR="00286173" w:rsidRPr="00510AD0">
        <w:fldChar w:fldCharType="separate"/>
      </w:r>
      <w:r w:rsidR="007751F5" w:rsidRPr="00510AD0">
        <w:rPr>
          <w:color w:val="000000"/>
        </w:rPr>
        <w:t>2.1(k)</w:t>
      </w:r>
      <w:r w:rsidR="00286173" w:rsidRPr="00510AD0">
        <w:fldChar w:fldCharType="end"/>
      </w:r>
      <w:r w:rsidRPr="00510AD0">
        <w:t xml:space="preserve"> of the Agreement and throughout the Delivery Term, Seller shall maintain or cause its Affiliate to maintain, a list of Customers in the Seller’s Portfolio in the form and containing the information set forth in </w:t>
      </w:r>
      <w:r w:rsidRPr="00510AD0">
        <w:rPr>
          <w:u w:val="single"/>
        </w:rPr>
        <w:t>Appendix XX</w:t>
      </w:r>
      <w:r w:rsidRPr="00510AD0">
        <w:t xml:space="preserve"> (“</w:t>
      </w:r>
      <w:r w:rsidRPr="00510AD0">
        <w:rPr>
          <w:u w:val="single"/>
        </w:rPr>
        <w:t>Seller’s Portfolio List</w:t>
      </w:r>
      <w:r w:rsidRPr="00510AD0">
        <w:t xml:space="preserve">”).  If any of the Customer information in Seller’s Portfolio List changes during the Delivery Term, such change shall be deemed a </w:t>
      </w:r>
      <w:r w:rsidR="00DC011E" w:rsidRPr="00510AD0">
        <w:t xml:space="preserve">Material </w:t>
      </w:r>
      <w:r w:rsidRPr="00510AD0">
        <w:t xml:space="preserve">Project Modification pursuant with Section </w:t>
      </w:r>
      <w:r w:rsidR="00286173" w:rsidRPr="00510AD0">
        <w:fldChar w:fldCharType="begin"/>
      </w:r>
      <w:r w:rsidR="00286173" w:rsidRPr="00510AD0">
        <w:instrText xml:space="preserve">  REF _Ref69141580 \w \h \* MERGEFORMAT </w:instrText>
      </w:r>
      <w:r w:rsidR="00286173" w:rsidRPr="00510AD0">
        <w:fldChar w:fldCharType="separate"/>
      </w:r>
      <w:r w:rsidR="007751F5" w:rsidRPr="00510AD0">
        <w:rPr>
          <w:color w:val="000000"/>
        </w:rPr>
        <w:t>3.3</w:t>
      </w:r>
      <w:r w:rsidR="00286173" w:rsidRPr="00510AD0">
        <w:fldChar w:fldCharType="end"/>
      </w:r>
      <w:r w:rsidRPr="00510AD0">
        <w:t xml:space="preserve"> of the Agreement and upon completion of such </w:t>
      </w:r>
      <w:r w:rsidR="00DC011E" w:rsidRPr="00510AD0">
        <w:t xml:space="preserve">Material </w:t>
      </w:r>
      <w:r w:rsidRPr="00510AD0">
        <w:t xml:space="preserve">Project Modification, Seller shall submit to Buyer an updated Seller’s Portfolio List reflecting all changes since the previous Seller’s Portfolio List, and Seller shall provide Buyer an Attestation only with respect to such changes from the previous Seller’s Portfolio List in accordance with Section </w:t>
      </w:r>
      <w:r w:rsidR="00E30D29" w:rsidRPr="00510AD0">
        <w:t>11.2</w:t>
      </w:r>
      <w:r w:rsidRPr="00510AD0">
        <w:t>.  In addition, Seller shall provide or cause its Affiliate to provide, any additional Customer information reasonably requested by Buyer in connection with this Agreement.</w:t>
      </w:r>
      <w:bookmarkEnd w:id="990"/>
      <w:r w:rsidRPr="00510AD0">
        <w:t xml:space="preserve"> </w:t>
      </w:r>
    </w:p>
    <w:p w14:paraId="5D64C43D" w14:textId="77777777" w:rsidR="0055205C" w:rsidRPr="00510AD0" w:rsidRDefault="0055205C" w:rsidP="00E907E0">
      <w:pPr>
        <w:pStyle w:val="CapStorageParaa"/>
        <w:numPr>
          <w:ilvl w:val="0"/>
          <w:numId w:val="6"/>
        </w:numPr>
      </w:pPr>
      <w:bookmarkStart w:id="991" w:name="_Ref69141851"/>
      <w:r w:rsidRPr="00510AD0">
        <w:rPr>
          <w:u w:val="single"/>
        </w:rPr>
        <w:t>Dual Participation</w:t>
      </w:r>
      <w:r w:rsidRPr="00510AD0">
        <w:t xml:space="preserve">.  Seller may include in Seller’s Portfolio those Customers that are registered in programs or resources administered by Buyer, the CPUC, the CAISO, the Utility Distribution Company, or applicable Governmental Authority (“Other Programs”), provided that </w:t>
      </w:r>
      <w:bookmarkStart w:id="992" w:name="DocXTextRef474"/>
      <w:r w:rsidRPr="00510AD0">
        <w:t>(i)</w:t>
      </w:r>
      <w:bookmarkEnd w:id="992"/>
      <w:r w:rsidRPr="00510AD0">
        <w:t xml:space="preserve"> participation of Customers in both Seller’s Portfolio and Other Programs does not impact Seller’s ability to perform its obligations under this Agreement, (ii) Seller complies with all rules and requirements of Other Programs set forth by Buyer, the CPUC, the CAISO, the Utility Distribution Company, or applicable Governmental Authority, and (iii) in the case of Multiuse Decision for energy storage, Seller’s inclusion of Customers in Seller’s Portfolio, where said Customers are also participants in Other Programs, complies with CPUC Decision </w:t>
      </w:r>
      <w:bookmarkStart w:id="993" w:name="DocXTextRef473"/>
      <w:r w:rsidRPr="00510AD0">
        <w:t>18</w:t>
      </w:r>
      <w:bookmarkEnd w:id="993"/>
      <w:r w:rsidRPr="00510AD0">
        <w:t>-</w:t>
      </w:r>
      <w:bookmarkStart w:id="994" w:name="DocXTextRef472"/>
      <w:r w:rsidRPr="00510AD0">
        <w:t>01</w:t>
      </w:r>
      <w:bookmarkEnd w:id="994"/>
      <w:r w:rsidRPr="00510AD0">
        <w:t>-003.</w:t>
      </w:r>
      <w:bookmarkEnd w:id="991"/>
      <w:r w:rsidRPr="00510AD0">
        <w:t xml:space="preserve"> </w:t>
      </w:r>
    </w:p>
    <w:p w14:paraId="7DC93405" w14:textId="77777777" w:rsidR="0055205C" w:rsidRPr="00510AD0" w:rsidRDefault="0055205C" w:rsidP="00E907E0">
      <w:pPr>
        <w:pStyle w:val="CapStorageParaa"/>
        <w:numPr>
          <w:ilvl w:val="0"/>
          <w:numId w:val="6"/>
        </w:numPr>
      </w:pPr>
      <w:bookmarkStart w:id="995" w:name="_Ref69141852"/>
      <w:r w:rsidRPr="00510AD0">
        <w:rPr>
          <w:u w:val="single"/>
        </w:rPr>
        <w:t>SGIP Funds</w:t>
      </w:r>
      <w:r w:rsidRPr="00510AD0">
        <w:t>.  At all times during the Delivery Term, the Project must include Units that were installed without using financial incentives under the Self-Generation Incentive Program (“SGIP”) with an aggregate rated capacity of no less than the capacity associated with the Operational Characteristics.  The Project may include Units that were installed using financial incentives under SGIP in excess of the capacity associated with the Operational Characteristics, provided that Seller complies with all rules and requirements under SGIP.  Buyer makes no representations or warranties with respect to the availability of financial incentives under the SGIP.</w:t>
      </w:r>
      <w:bookmarkEnd w:id="995"/>
    </w:p>
    <w:p w14:paraId="2ADD982F" w14:textId="77777777" w:rsidR="0055205C" w:rsidRPr="00510AD0" w:rsidRDefault="0055205C" w:rsidP="00E907E0">
      <w:pPr>
        <w:pStyle w:val="CapStorageParaa"/>
        <w:numPr>
          <w:ilvl w:val="0"/>
          <w:numId w:val="6"/>
        </w:numPr>
      </w:pPr>
      <w:bookmarkStart w:id="996" w:name="_Ref69141853"/>
      <w:r w:rsidRPr="00510AD0">
        <w:t>Seller shall be fully responsible for all acts and omissions of its Affiliates and Customers and for all cost, charges and liabilities incurred by its Affiliates and Customers to the same extent that Seller would be responsible under this Agreement for such acts, omissions, costs, charges and liabilities if taken, omitted or incurred by Seller directly.</w:t>
      </w:r>
      <w:bookmarkEnd w:id="996"/>
    </w:p>
    <w:p w14:paraId="1223FA00" w14:textId="121C49FD" w:rsidR="0055205C" w:rsidRPr="00510AD0" w:rsidRDefault="0055205C" w:rsidP="00B52660">
      <w:pPr>
        <w:pStyle w:val="BodyTextLeft"/>
        <w:rPr>
          <w:b/>
          <w:i/>
        </w:rPr>
      </w:pPr>
      <w:r w:rsidRPr="00510AD0">
        <w:rPr>
          <w:b/>
          <w:i/>
        </w:rPr>
        <w:t xml:space="preserve">[Drafting Note: Add any Project technology specific requirements for interconnection and operation, e.g. for energy storage add: </w:t>
      </w:r>
      <w:r w:rsidRPr="00510AD0">
        <w:t xml:space="preserve">“During the Delivery Term, Seller shall be responsible </w:t>
      </w:r>
      <w:r w:rsidRPr="00510AD0">
        <w:lastRenderedPageBreak/>
        <w:t>for procuring and delivering all of the Charging Energy to the Project and paying all of the associated costs of such Charging Energy.”</w:t>
      </w:r>
      <w:bookmarkStart w:id="997" w:name="_Ref69141908"/>
      <w:r w:rsidRPr="00510AD0">
        <w:rPr>
          <w:rStyle w:val="FootnoteReference"/>
        </w:rPr>
        <w:footnoteReference w:id="63"/>
      </w:r>
      <w:bookmarkEnd w:id="997"/>
      <w:r w:rsidRPr="00510AD0">
        <w:rPr>
          <w:b/>
          <w:i/>
        </w:rPr>
        <w:t>]</w:t>
      </w:r>
    </w:p>
    <w:p w14:paraId="093A8AF3" w14:textId="77777777" w:rsidR="0055205C" w:rsidRPr="00510AD0" w:rsidRDefault="0055205C" w:rsidP="00B52660">
      <w:pPr>
        <w:pStyle w:val="BodyTextLeft"/>
      </w:pPr>
      <w:r w:rsidRPr="00510AD0">
        <w:rPr>
          <w:b/>
          <w:bCs/>
          <w:i/>
          <w:iCs/>
        </w:rPr>
        <w:t>[__________________]</w:t>
      </w:r>
    </w:p>
    <w:p w14:paraId="25F1418E" w14:textId="565EE8F8" w:rsidR="0055205C" w:rsidRPr="00510AD0" w:rsidRDefault="0055205C" w:rsidP="00B52660">
      <w:pPr>
        <w:pStyle w:val="BodyTextLeft"/>
        <w:rPr>
          <w:b/>
          <w:i/>
        </w:rPr>
      </w:pPr>
      <w:r w:rsidRPr="00510AD0">
        <w:rPr>
          <w:b/>
          <w:bCs/>
        </w:rPr>
        <w:t xml:space="preserve">Part </w:t>
      </w:r>
      <w:bookmarkStart w:id="998" w:name="DocXTextRef475"/>
      <w:r w:rsidRPr="00510AD0">
        <w:rPr>
          <w:b/>
          <w:bCs/>
        </w:rPr>
        <w:t>4</w:t>
      </w:r>
      <w:bookmarkEnd w:id="998"/>
      <w:r w:rsidRPr="00510AD0">
        <w:rPr>
          <w:b/>
          <w:bCs/>
        </w:rPr>
        <w:t xml:space="preserve">: Covenants of Seller </w:t>
      </w:r>
      <w:r w:rsidRPr="00510AD0">
        <w:rPr>
          <w:b/>
          <w:i/>
        </w:rPr>
        <w:t>[Drafting Note: Add any Project technology specific covenants for Seller, e.g. for energy storage add: “</w:t>
      </w:r>
      <w:r w:rsidRPr="00510AD0">
        <w:t xml:space="preserve"> Seller shall follow all the rules set forth in </w:t>
      </w:r>
      <w:bookmarkStart w:id="999" w:name="DocXTextRef476"/>
      <w:r w:rsidRPr="00510AD0">
        <w:t>Appendix A</w:t>
      </w:r>
      <w:bookmarkEnd w:id="999"/>
      <w:r w:rsidRPr="00510AD0">
        <w:t xml:space="preserve"> of the MUA Decision.”  AND “ Seller shall provide Product that counts towards ____ MW of Buyer’s energy storage target established by the Energy Storage Decision.  To the extent a change in Law occurs after execution of this Agreement that causes Seller to fail to perform this covenant, it shall not be an Event of Default if Seller has used commercially reasonable efforts to comply with such change in Law.”</w:t>
      </w:r>
      <w:r w:rsidRPr="00510AD0">
        <w:rPr>
          <w:b/>
          <w:i/>
        </w:rPr>
        <w:t xml:space="preserve"> ]</w:t>
      </w:r>
    </w:p>
    <w:p w14:paraId="336C9DAF" w14:textId="77777777" w:rsidR="0055205C" w:rsidRPr="00510AD0" w:rsidRDefault="0055205C" w:rsidP="00B52660">
      <w:pPr>
        <w:pStyle w:val="BodyTextLeft"/>
        <w:rPr>
          <w:b/>
          <w:bCs/>
          <w:i/>
          <w:iCs/>
        </w:rPr>
      </w:pPr>
      <w:r w:rsidRPr="00510AD0">
        <w:rPr>
          <w:b/>
          <w:bCs/>
          <w:i/>
          <w:iCs/>
        </w:rPr>
        <w:t>[__________________]</w:t>
      </w:r>
    </w:p>
    <w:p w14:paraId="68EA05C8" w14:textId="624F3BDC" w:rsidR="0055205C" w:rsidRPr="00510AD0" w:rsidRDefault="0055205C" w:rsidP="00B52660">
      <w:pPr>
        <w:pStyle w:val="BodyTextLeft"/>
        <w:rPr>
          <w:b/>
          <w:i/>
        </w:rPr>
      </w:pPr>
      <w:r w:rsidRPr="00510AD0">
        <w:rPr>
          <w:b/>
          <w:bCs/>
        </w:rPr>
        <w:t xml:space="preserve">Part </w:t>
      </w:r>
      <w:bookmarkStart w:id="1000" w:name="DocXTextRef477"/>
      <w:r w:rsidRPr="00510AD0">
        <w:rPr>
          <w:b/>
          <w:bCs/>
        </w:rPr>
        <w:t>5</w:t>
      </w:r>
      <w:bookmarkEnd w:id="1000"/>
      <w:r w:rsidRPr="00510AD0">
        <w:rPr>
          <w:b/>
          <w:bCs/>
        </w:rPr>
        <w:t xml:space="preserve">: General Audit Rights </w:t>
      </w:r>
      <w:r w:rsidRPr="00510AD0">
        <w:rPr>
          <w:b/>
          <w:i/>
        </w:rPr>
        <w:t>[Drafting Note: Add any Project technology specific audit rights, e.g. for energy storage add:</w:t>
      </w:r>
      <w:r w:rsidRPr="00510AD0">
        <w:t xml:space="preserve"> “Buyer has the right to request from Seller an attestation, in the form attached hereto as </w:t>
      </w:r>
      <w:r w:rsidRPr="00510AD0">
        <w:rPr>
          <w:u w:val="single"/>
        </w:rPr>
        <w:t>Appendix XII</w:t>
      </w:r>
      <w:r w:rsidRPr="00510AD0">
        <w:t>, that Seller is following all rules of the MUA Decision.</w:t>
      </w:r>
      <w:r w:rsidRPr="00510AD0">
        <w:rPr>
          <w:b/>
          <w:i/>
        </w:rPr>
        <w:t>]</w:t>
      </w:r>
    </w:p>
    <w:p w14:paraId="74ECC73C" w14:textId="77777777" w:rsidR="0055205C" w:rsidRPr="00510AD0" w:rsidRDefault="0055205C" w:rsidP="00B52660">
      <w:pPr>
        <w:pStyle w:val="BodyTextLeft"/>
        <w:rPr>
          <w:b/>
          <w:bCs/>
          <w:i/>
          <w:iCs/>
        </w:rPr>
      </w:pPr>
      <w:r w:rsidRPr="00510AD0">
        <w:rPr>
          <w:b/>
          <w:bCs/>
          <w:i/>
          <w:iCs/>
        </w:rPr>
        <w:t>[__________________]</w:t>
      </w:r>
    </w:p>
    <w:p w14:paraId="4849FC82" w14:textId="77777777" w:rsidR="0055205C" w:rsidRPr="00510AD0" w:rsidRDefault="0055205C" w:rsidP="00B52660">
      <w:pPr>
        <w:pStyle w:val="BodyTextLeft"/>
        <w:rPr>
          <w:b/>
          <w:iCs/>
        </w:rPr>
      </w:pPr>
      <w:r w:rsidRPr="00510AD0">
        <w:rPr>
          <w:b/>
          <w:iCs/>
        </w:rPr>
        <w:t>Part [XX]: [________________]</w:t>
      </w:r>
    </w:p>
    <w:p w14:paraId="5968F5AB" w14:textId="77777777" w:rsidR="0055205C" w:rsidRPr="00510AD0" w:rsidRDefault="0055205C" w:rsidP="00E907E0">
      <w:pPr>
        <w:spacing w:after="240"/>
      </w:pPr>
      <w:r w:rsidRPr="00510AD0">
        <w:rPr>
          <w:b/>
          <w:bCs/>
          <w:i/>
          <w:iCs/>
        </w:rPr>
        <w:t>[__________________]</w:t>
      </w:r>
    </w:p>
    <w:p w14:paraId="2AA59749" w14:textId="77777777" w:rsidR="0055205C" w:rsidRPr="00510AD0" w:rsidRDefault="0055205C" w:rsidP="00E907E0">
      <w:pPr>
        <w:spacing w:after="240"/>
        <w:jc w:val="center"/>
        <w:rPr>
          <w:b/>
        </w:rPr>
        <w:sectPr w:rsidR="0055205C" w:rsidRPr="00510AD0" w:rsidSect="0077573F">
          <w:footerReference w:type="default" r:id="rId59"/>
          <w:footerReference w:type="first" r:id="rId60"/>
          <w:pgSz w:w="12240" w:h="15840"/>
          <w:pgMar w:top="1440" w:right="1440" w:bottom="1440" w:left="1440" w:header="432" w:footer="432" w:gutter="0"/>
          <w:pgNumType w:start="1"/>
          <w:cols w:space="720"/>
          <w:docGrid w:linePitch="360"/>
        </w:sectPr>
      </w:pPr>
    </w:p>
    <w:p w14:paraId="2DA99028" w14:textId="314FBF40" w:rsidR="0055205C" w:rsidRPr="00510AD0" w:rsidRDefault="0055205C" w:rsidP="00E907E0">
      <w:pPr>
        <w:spacing w:after="240"/>
        <w:jc w:val="center"/>
        <w:rPr>
          <w:b/>
          <w:bCs/>
        </w:rPr>
      </w:pPr>
      <w:bookmarkStart w:id="1002" w:name="_Hlk65603346"/>
      <w:r w:rsidRPr="00510AD0">
        <w:rPr>
          <w:b/>
        </w:rPr>
        <w:lastRenderedPageBreak/>
        <w:t>APPENDIX XV</w:t>
      </w:r>
      <w:r w:rsidRPr="00510AD0">
        <w:rPr>
          <w:b/>
        </w:rPr>
        <w:br/>
      </w:r>
      <w:r w:rsidRPr="00510AD0">
        <w:rPr>
          <w:b/>
        </w:rPr>
        <w:br/>
      </w:r>
      <w:r w:rsidRPr="00510AD0">
        <w:rPr>
          <w:b/>
          <w:bCs/>
        </w:rPr>
        <w:t>[ENERGY SETTLEMENT CALCULATION]</w:t>
      </w:r>
      <w:r w:rsidR="009C243F" w:rsidRPr="00510AD0">
        <w:rPr>
          <w:rStyle w:val="FootnoteReference"/>
          <w:b/>
          <w:bCs/>
        </w:rPr>
        <w:footnoteReference w:id="64"/>
      </w:r>
    </w:p>
    <w:p w14:paraId="3FF960AF" w14:textId="7E2C7180" w:rsidR="00831311" w:rsidRPr="00510AD0" w:rsidRDefault="00831311" w:rsidP="00831311">
      <w:bookmarkStart w:id="1003" w:name="_Hlk65603377"/>
      <w:bookmarkEnd w:id="1002"/>
      <w:r w:rsidRPr="00510AD0">
        <w:t xml:space="preserve">The Energy Settlement (“ES”) shall be calculated as follows: </w:t>
      </w:r>
    </w:p>
    <w:p w14:paraId="0A0B35C9" w14:textId="77777777" w:rsidR="009C243F" w:rsidRPr="00510AD0" w:rsidRDefault="009C243F" w:rsidP="00831311"/>
    <w:p w14:paraId="5CFEF2BD" w14:textId="1A128041" w:rsidR="00831311" w:rsidRPr="00510AD0" w:rsidRDefault="00831311" w:rsidP="00831311">
      <w:pPr>
        <w:rPr>
          <w:b/>
          <w:bCs/>
          <w:i/>
          <w:iCs/>
        </w:rPr>
      </w:pPr>
      <w:r w:rsidRPr="00510AD0">
        <w:rPr>
          <w:b/>
          <w:bCs/>
          <w:i/>
          <w:iCs/>
        </w:rPr>
        <w:t>[</w:t>
      </w:r>
      <w:r w:rsidRPr="00510AD0">
        <w:rPr>
          <w:b/>
          <w:i/>
          <w:iCs/>
        </w:rPr>
        <w:t>Option 1:</w:t>
      </w:r>
      <w:r w:rsidRPr="00510AD0">
        <w:rPr>
          <w:b/>
          <w:bCs/>
          <w:i/>
          <w:iCs/>
        </w:rPr>
        <w:t xml:space="preserve"> </w:t>
      </w:r>
      <w:r w:rsidRPr="00510AD0">
        <w:rPr>
          <w:b/>
          <w:i/>
          <w:iCs/>
        </w:rPr>
        <w:t xml:space="preserve">Insert the formula below </w:t>
      </w:r>
      <w:r w:rsidRPr="00510AD0">
        <w:rPr>
          <w:b/>
          <w:bCs/>
          <w:i/>
          <w:iCs/>
        </w:rPr>
        <w:t>if the Project technology is Energy Storage:]</w:t>
      </w:r>
    </w:p>
    <w:p w14:paraId="3BB31C58" w14:textId="77777777" w:rsidR="00831311" w:rsidRPr="00510AD0" w:rsidRDefault="00831311" w:rsidP="00831311">
      <w:pPr>
        <w:ind w:left="720"/>
      </w:pPr>
      <w:r w:rsidRPr="00510AD0">
        <w:t>ES</w:t>
      </w:r>
      <w:r w:rsidRPr="00510AD0">
        <w:rPr>
          <w:vertAlign w:val="subscript"/>
        </w:rPr>
        <w:t>m</w:t>
      </w:r>
      <w:r w:rsidRPr="00510AD0">
        <w:t xml:space="preserve"> = ∑  ES</w:t>
      </w:r>
      <w:r w:rsidRPr="00510AD0">
        <w:rPr>
          <w:vertAlign w:val="subscript"/>
        </w:rPr>
        <w:t>d</w:t>
      </w:r>
      <w:r w:rsidRPr="00510AD0">
        <w:t xml:space="preserve"> × ESPQ</w:t>
      </w:r>
      <w:r w:rsidRPr="00510AD0">
        <w:rPr>
          <w:vertAlign w:val="subscript"/>
        </w:rPr>
        <w:t>m</w:t>
      </w:r>
      <w:r w:rsidRPr="00510AD0">
        <w:t>,</w:t>
      </w:r>
    </w:p>
    <w:p w14:paraId="61533415" w14:textId="77777777" w:rsidR="00831311" w:rsidRPr="00510AD0" w:rsidRDefault="00831311" w:rsidP="00831311">
      <w:pPr>
        <w:ind w:left="720"/>
      </w:pPr>
      <w:r w:rsidRPr="00510AD0">
        <w:tab/>
        <w:t>where,</w:t>
      </w:r>
    </w:p>
    <w:p w14:paraId="5001FAD8" w14:textId="77777777" w:rsidR="00831311" w:rsidRPr="00510AD0" w:rsidRDefault="00831311" w:rsidP="00831311">
      <w:pPr>
        <w:ind w:left="720"/>
      </w:pPr>
      <w:r w:rsidRPr="00510AD0">
        <w:tab/>
        <w:t xml:space="preserve">∑ = the sum from </w:t>
      </w:r>
      <w:r w:rsidRPr="00510AD0">
        <w:rPr>
          <w:i/>
        </w:rPr>
        <w:t>d</w:t>
      </w:r>
      <w:r w:rsidRPr="00510AD0">
        <w:t>=1 to n, where n = the number of days in a month</w:t>
      </w:r>
    </w:p>
    <w:p w14:paraId="77011BEA" w14:textId="77777777" w:rsidR="00831311" w:rsidRPr="00510AD0" w:rsidRDefault="00831311" w:rsidP="00831311">
      <w:pPr>
        <w:ind w:left="720"/>
      </w:pPr>
      <w:r w:rsidRPr="00510AD0">
        <w:tab/>
        <w:t>ESPQ</w:t>
      </w:r>
      <w:r w:rsidRPr="00510AD0">
        <w:rPr>
          <w:vertAlign w:val="subscript"/>
        </w:rPr>
        <w:t>m</w:t>
      </w:r>
      <w:r w:rsidRPr="00510AD0">
        <w:t xml:space="preserve"> = Energy Settlement Payment Quantity for month </w:t>
      </w:r>
      <w:r w:rsidRPr="00510AD0">
        <w:rPr>
          <w:i/>
        </w:rPr>
        <w:t>m</w:t>
      </w:r>
    </w:p>
    <w:p w14:paraId="0098CBFC" w14:textId="77777777" w:rsidR="00831311" w:rsidRPr="00510AD0" w:rsidRDefault="00831311" w:rsidP="00831311">
      <w:pPr>
        <w:ind w:left="2070" w:hanging="630"/>
      </w:pPr>
      <w:r w:rsidRPr="00510AD0">
        <w:t>ES</w:t>
      </w:r>
      <w:r w:rsidRPr="00510AD0">
        <w:rPr>
          <w:vertAlign w:val="subscript"/>
        </w:rPr>
        <w:t>d</w:t>
      </w:r>
      <w:r w:rsidRPr="00510AD0">
        <w:t xml:space="preserve"> =   ∑ max [0, (large (DAP</w:t>
      </w:r>
      <w:r w:rsidRPr="00510AD0">
        <w:rPr>
          <w:vertAlign w:val="subscript"/>
        </w:rPr>
        <w:t>i</w:t>
      </w:r>
      <w:r w:rsidRPr="00510AD0">
        <w:t>) – {Wt1</w:t>
      </w:r>
      <w:r w:rsidRPr="00510AD0">
        <w:rPr>
          <w:vertAlign w:val="subscript"/>
        </w:rPr>
        <w:t>i</w:t>
      </w:r>
      <w:r w:rsidRPr="00510AD0">
        <w:t xml:space="preserve"> * small (DAP</w:t>
      </w:r>
      <w:r w:rsidRPr="00510AD0">
        <w:rPr>
          <w:vertAlign w:val="subscript"/>
        </w:rPr>
        <w:t>i</w:t>
      </w:r>
      <w:r w:rsidRPr="00510AD0">
        <w:t>) + Wt2</w:t>
      </w:r>
      <w:r w:rsidRPr="00510AD0">
        <w:rPr>
          <w:vertAlign w:val="subscript"/>
        </w:rPr>
        <w:t xml:space="preserve">i </w:t>
      </w:r>
      <w:r w:rsidRPr="00510AD0">
        <w:t>* small (DAP</w:t>
      </w:r>
      <w:r w:rsidRPr="00510AD0">
        <w:rPr>
          <w:vertAlign w:val="subscript"/>
        </w:rPr>
        <w:t>i+1</w:t>
      </w:r>
      <w:r w:rsidRPr="00510AD0">
        <w:t>) + Wt3</w:t>
      </w:r>
      <w:r w:rsidRPr="00510AD0">
        <w:rPr>
          <w:vertAlign w:val="subscript"/>
        </w:rPr>
        <w:t xml:space="preserve">i </w:t>
      </w:r>
      <w:r w:rsidRPr="00510AD0">
        <w:t>* small (DAP</w:t>
      </w:r>
      <w:r w:rsidRPr="00510AD0">
        <w:rPr>
          <w:vertAlign w:val="subscript"/>
        </w:rPr>
        <w:t>i+2</w:t>
      </w:r>
      <w:r w:rsidRPr="00510AD0">
        <w:t xml:space="preserve">)} – VOM)] </w:t>
      </w:r>
    </w:p>
    <w:p w14:paraId="00D62C49" w14:textId="77777777" w:rsidR="00831311" w:rsidRPr="00510AD0" w:rsidRDefault="00831311" w:rsidP="00831311">
      <w:pPr>
        <w:ind w:left="2160"/>
      </w:pPr>
      <w:r w:rsidRPr="00510AD0">
        <w:t>where,</w:t>
      </w:r>
    </w:p>
    <w:p w14:paraId="336DA6AB" w14:textId="77777777" w:rsidR="00831311" w:rsidRPr="00510AD0" w:rsidRDefault="00831311" w:rsidP="00831311">
      <w:pPr>
        <w:ind w:left="2160"/>
      </w:pPr>
      <w:r w:rsidRPr="00510AD0">
        <w:t>ES</w:t>
      </w:r>
      <w:r w:rsidRPr="00510AD0">
        <w:rPr>
          <w:vertAlign w:val="subscript"/>
        </w:rPr>
        <w:t>d</w:t>
      </w:r>
      <w:r w:rsidRPr="00510AD0">
        <w:t xml:space="preserve"> = Energy Settlement for day </w:t>
      </w:r>
      <w:r w:rsidRPr="00510AD0">
        <w:rPr>
          <w:i/>
        </w:rPr>
        <w:t>d</w:t>
      </w:r>
      <w:r w:rsidRPr="00510AD0">
        <w:t>;</w:t>
      </w:r>
    </w:p>
    <w:p w14:paraId="109FAB4D" w14:textId="77777777" w:rsidR="00831311" w:rsidRPr="00510AD0" w:rsidRDefault="00831311" w:rsidP="00831311">
      <w:pPr>
        <w:ind w:left="2160"/>
      </w:pPr>
      <w:r w:rsidRPr="00510AD0">
        <w:t xml:space="preserve">∑ = the sum from i = 1 to z, where z is ___ hours </w:t>
      </w:r>
      <w:r w:rsidRPr="00510AD0">
        <w:rPr>
          <w:b/>
          <w:i/>
          <w:color w:val="0000FF"/>
        </w:rPr>
        <w:t>[insert the number of hours of duration of the Project]</w:t>
      </w:r>
      <w:r w:rsidRPr="00510AD0">
        <w:t>;</w:t>
      </w:r>
    </w:p>
    <w:p w14:paraId="587B6481" w14:textId="77777777" w:rsidR="00831311" w:rsidRPr="00510AD0" w:rsidRDefault="00831311" w:rsidP="00831311">
      <w:pPr>
        <w:ind w:left="2160"/>
      </w:pPr>
      <w:r w:rsidRPr="00510AD0">
        <w:t>Large (DAP</w:t>
      </w:r>
      <w:r w:rsidRPr="00510AD0">
        <w:rPr>
          <w:vertAlign w:val="subscript"/>
        </w:rPr>
        <w:t>i</w:t>
      </w:r>
      <w:r w:rsidRPr="00510AD0">
        <w:t xml:space="preserve">) = the i-th largest value of DAP for all Settlement Periods in day </w:t>
      </w:r>
      <w:r w:rsidRPr="00510AD0">
        <w:rPr>
          <w:i/>
          <w:iCs/>
        </w:rPr>
        <w:t>d</w:t>
      </w:r>
      <w:r w:rsidRPr="00510AD0">
        <w:t>;</w:t>
      </w:r>
    </w:p>
    <w:p w14:paraId="10CB7B8D" w14:textId="77777777" w:rsidR="00831311" w:rsidRPr="00510AD0" w:rsidRDefault="00831311" w:rsidP="00831311">
      <w:pPr>
        <w:ind w:left="2160"/>
      </w:pPr>
      <w:r w:rsidRPr="00510AD0">
        <w:t>Small (DAP</w:t>
      </w:r>
      <w:r w:rsidRPr="00510AD0">
        <w:rPr>
          <w:vertAlign w:val="subscript"/>
        </w:rPr>
        <w:t>i</w:t>
      </w:r>
      <w:r w:rsidRPr="00510AD0">
        <w:t xml:space="preserve">) = the i-th smallest value of DAP for all Settlement Periods in day </w:t>
      </w:r>
      <w:r w:rsidRPr="00510AD0">
        <w:rPr>
          <w:i/>
          <w:iCs/>
        </w:rPr>
        <w:t>d</w:t>
      </w:r>
      <w:r w:rsidRPr="00510AD0">
        <w:t>;</w:t>
      </w:r>
    </w:p>
    <w:p w14:paraId="694F8160" w14:textId="77777777" w:rsidR="00831311" w:rsidRPr="00510AD0" w:rsidRDefault="00831311" w:rsidP="00831311">
      <w:pPr>
        <w:pStyle w:val="NormalWeb"/>
        <w:ind w:left="2160"/>
        <w:rPr>
          <w:sz w:val="22"/>
          <w:szCs w:val="22"/>
        </w:rPr>
      </w:pPr>
      <w:r w:rsidRPr="00510AD0">
        <w:rPr>
          <w:sz w:val="22"/>
          <w:szCs w:val="22"/>
        </w:rPr>
        <w:t>Wt1</w:t>
      </w:r>
      <w:r w:rsidRPr="00510AD0">
        <w:rPr>
          <w:sz w:val="22"/>
          <w:szCs w:val="22"/>
          <w:vertAlign w:val="subscript"/>
        </w:rPr>
        <w:t>i</w:t>
      </w:r>
      <w:r w:rsidRPr="00510AD0">
        <w:rPr>
          <w:sz w:val="22"/>
          <w:szCs w:val="22"/>
        </w:rPr>
        <w:t xml:space="preserve"> = min (i, max (i-1, i/E)) – min (i, max (i-1, (i-1)/E))</w:t>
      </w:r>
    </w:p>
    <w:p w14:paraId="2A231FB6" w14:textId="77777777" w:rsidR="00831311" w:rsidRPr="00510AD0" w:rsidRDefault="00831311" w:rsidP="00831311">
      <w:pPr>
        <w:pStyle w:val="NormalWeb"/>
        <w:ind w:left="2160"/>
        <w:rPr>
          <w:sz w:val="22"/>
          <w:szCs w:val="22"/>
        </w:rPr>
      </w:pPr>
      <w:r w:rsidRPr="00510AD0">
        <w:rPr>
          <w:sz w:val="22"/>
          <w:szCs w:val="22"/>
        </w:rPr>
        <w:t>Wt2</w:t>
      </w:r>
      <w:r w:rsidRPr="00510AD0">
        <w:rPr>
          <w:sz w:val="22"/>
          <w:szCs w:val="22"/>
          <w:vertAlign w:val="subscript"/>
        </w:rPr>
        <w:t>i</w:t>
      </w:r>
      <w:r w:rsidRPr="00510AD0">
        <w:rPr>
          <w:sz w:val="22"/>
          <w:szCs w:val="22"/>
        </w:rPr>
        <w:t xml:space="preserve"> = min (i+1, max (i, i/E)) – min (i+1, max (i, (i-1)/E))</w:t>
      </w:r>
    </w:p>
    <w:p w14:paraId="208448CF" w14:textId="77777777" w:rsidR="00831311" w:rsidRPr="00510AD0" w:rsidRDefault="00831311" w:rsidP="00831311">
      <w:pPr>
        <w:pStyle w:val="NormalWeb"/>
        <w:ind w:left="2160"/>
        <w:rPr>
          <w:sz w:val="22"/>
          <w:szCs w:val="22"/>
        </w:rPr>
      </w:pPr>
      <w:r w:rsidRPr="00510AD0">
        <w:rPr>
          <w:sz w:val="22"/>
          <w:szCs w:val="22"/>
        </w:rPr>
        <w:t>Wt3</w:t>
      </w:r>
      <w:r w:rsidRPr="00510AD0">
        <w:rPr>
          <w:sz w:val="22"/>
          <w:szCs w:val="22"/>
          <w:vertAlign w:val="subscript"/>
        </w:rPr>
        <w:t>i</w:t>
      </w:r>
      <w:r w:rsidRPr="00510AD0">
        <w:rPr>
          <w:sz w:val="22"/>
          <w:szCs w:val="22"/>
        </w:rPr>
        <w:t xml:space="preserve"> = min (i+2, max (i+1, i/E)) – min (i+2, max (i+1, (i-1)/E))</w:t>
      </w:r>
    </w:p>
    <w:p w14:paraId="718B9FF4" w14:textId="1805267A" w:rsidR="00702482" w:rsidRPr="00510AD0" w:rsidRDefault="00702482" w:rsidP="00702482">
      <w:pPr>
        <w:ind w:left="2160"/>
      </w:pPr>
      <w:r w:rsidRPr="00510AD0">
        <w:t xml:space="preserve">E = </w:t>
      </w:r>
      <w:r w:rsidRPr="00510AD0">
        <w:rPr>
          <w:highlight w:val="yellow"/>
        </w:rPr>
        <w:t>___</w:t>
      </w:r>
      <w:r w:rsidRPr="00510AD0">
        <w:t xml:space="preserve"> </w:t>
      </w:r>
      <w:r w:rsidRPr="00510AD0">
        <w:rPr>
          <w:b/>
          <w:i/>
          <w:color w:val="0000FF"/>
        </w:rPr>
        <w:t>[</w:t>
      </w:r>
      <w:r w:rsidR="00A8674C" w:rsidRPr="00510AD0">
        <w:rPr>
          <w:b/>
          <w:i/>
          <w:color w:val="0000FF"/>
        </w:rPr>
        <w:t xml:space="preserve">Insert </w:t>
      </w:r>
      <w:r w:rsidRPr="00510AD0">
        <w:rPr>
          <w:b/>
          <w:i/>
          <w:color w:val="0000FF"/>
        </w:rPr>
        <w:t>round trip efficiency of the Project, as a percentage]</w:t>
      </w:r>
    </w:p>
    <w:p w14:paraId="62A1C465" w14:textId="03B450EE" w:rsidR="00831311" w:rsidRPr="00510AD0" w:rsidRDefault="00831311" w:rsidP="00831311">
      <w:pPr>
        <w:ind w:left="1440" w:firstLine="720"/>
        <w:rPr>
          <w:b/>
        </w:rPr>
      </w:pPr>
      <w:r w:rsidRPr="00510AD0">
        <w:t xml:space="preserve">VOM = </w:t>
      </w:r>
      <w:r w:rsidRPr="00510AD0">
        <w:rPr>
          <w:highlight w:val="yellow"/>
        </w:rPr>
        <w:t>___</w:t>
      </w:r>
      <w:r w:rsidRPr="00510AD0">
        <w:t xml:space="preserve"> </w:t>
      </w:r>
      <w:r w:rsidRPr="00510AD0">
        <w:rPr>
          <w:b/>
          <w:i/>
          <w:color w:val="0000FF"/>
        </w:rPr>
        <w:t>[</w:t>
      </w:r>
      <w:r w:rsidR="00A8674C" w:rsidRPr="00510AD0">
        <w:rPr>
          <w:b/>
          <w:i/>
          <w:color w:val="0000FF"/>
        </w:rPr>
        <w:t>I</w:t>
      </w:r>
      <w:r w:rsidRPr="00510AD0">
        <w:rPr>
          <w:b/>
          <w:i/>
          <w:color w:val="0000FF"/>
        </w:rPr>
        <w:t>nsert Variable O&amp;M (in $/MWh)]</w:t>
      </w:r>
    </w:p>
    <w:p w14:paraId="72F83B9E" w14:textId="77777777" w:rsidR="00831311" w:rsidRPr="00510AD0" w:rsidRDefault="00831311" w:rsidP="00831311">
      <w:pPr>
        <w:rPr>
          <w:b/>
          <w:bCs/>
          <w:i/>
          <w:iCs/>
        </w:rPr>
      </w:pPr>
      <w:r w:rsidRPr="00510AD0">
        <w:rPr>
          <w:b/>
          <w:bCs/>
          <w:i/>
          <w:iCs/>
        </w:rPr>
        <w:t>[</w:t>
      </w:r>
      <w:r w:rsidRPr="00510AD0">
        <w:rPr>
          <w:b/>
          <w:i/>
          <w:iCs/>
        </w:rPr>
        <w:t>Option 2:</w:t>
      </w:r>
      <w:r w:rsidRPr="00510AD0">
        <w:rPr>
          <w:b/>
          <w:bCs/>
          <w:i/>
          <w:iCs/>
        </w:rPr>
        <w:t xml:space="preserve"> Insert the formula below if the Project is Gas Fired:]</w:t>
      </w:r>
    </w:p>
    <w:p w14:paraId="38140FF0" w14:textId="77777777" w:rsidR="00831311" w:rsidRPr="00510AD0" w:rsidRDefault="00831311" w:rsidP="00831311">
      <w:pPr>
        <w:ind w:left="720"/>
      </w:pPr>
      <w:r w:rsidRPr="00510AD0">
        <w:t>ES</w:t>
      </w:r>
      <w:r w:rsidRPr="00510AD0">
        <w:rPr>
          <w:vertAlign w:val="subscript"/>
        </w:rPr>
        <w:t>m</w:t>
      </w:r>
      <w:r w:rsidRPr="00510AD0">
        <w:t xml:space="preserve"> = ∑  ES</w:t>
      </w:r>
      <w:r w:rsidRPr="00510AD0">
        <w:rPr>
          <w:vertAlign w:val="subscript"/>
        </w:rPr>
        <w:t>d</w:t>
      </w:r>
      <w:r w:rsidRPr="00510AD0">
        <w:t xml:space="preserve"> × ESPQ</w:t>
      </w:r>
      <w:r w:rsidRPr="00510AD0">
        <w:rPr>
          <w:vertAlign w:val="subscript"/>
        </w:rPr>
        <w:t>m</w:t>
      </w:r>
      <w:r w:rsidRPr="00510AD0">
        <w:t>,</w:t>
      </w:r>
    </w:p>
    <w:p w14:paraId="74B4479F" w14:textId="77777777" w:rsidR="00831311" w:rsidRPr="00510AD0" w:rsidRDefault="00831311" w:rsidP="00831311">
      <w:pPr>
        <w:ind w:left="720"/>
      </w:pPr>
      <w:r w:rsidRPr="00510AD0">
        <w:tab/>
        <w:t>where,</w:t>
      </w:r>
    </w:p>
    <w:p w14:paraId="432C8C02" w14:textId="77777777" w:rsidR="00831311" w:rsidRPr="00510AD0" w:rsidRDefault="00831311" w:rsidP="00831311">
      <w:pPr>
        <w:ind w:left="720"/>
      </w:pPr>
      <w:r w:rsidRPr="00510AD0">
        <w:tab/>
        <w:t xml:space="preserve">∑ = the sum from </w:t>
      </w:r>
      <w:r w:rsidRPr="00510AD0">
        <w:rPr>
          <w:i/>
        </w:rPr>
        <w:t>d</w:t>
      </w:r>
      <w:r w:rsidRPr="00510AD0">
        <w:t xml:space="preserve">=1 to n, where n = the number of days in month </w:t>
      </w:r>
      <w:r w:rsidRPr="00510AD0">
        <w:rPr>
          <w:i/>
          <w:iCs/>
        </w:rPr>
        <w:t>m</w:t>
      </w:r>
    </w:p>
    <w:p w14:paraId="1F03FC46" w14:textId="77777777" w:rsidR="00831311" w:rsidRPr="00510AD0" w:rsidRDefault="00831311" w:rsidP="00831311">
      <w:pPr>
        <w:ind w:left="720"/>
      </w:pPr>
      <w:r w:rsidRPr="00510AD0">
        <w:tab/>
        <w:t>ESPQ</w:t>
      </w:r>
      <w:r w:rsidRPr="00510AD0">
        <w:rPr>
          <w:vertAlign w:val="subscript"/>
        </w:rPr>
        <w:t>m</w:t>
      </w:r>
      <w:r w:rsidRPr="00510AD0">
        <w:t xml:space="preserve"> = Energy Settlement Payment Quantity for month </w:t>
      </w:r>
      <w:r w:rsidRPr="00510AD0">
        <w:rPr>
          <w:i/>
        </w:rPr>
        <w:t>m</w:t>
      </w:r>
    </w:p>
    <w:p w14:paraId="76F1D135" w14:textId="77777777" w:rsidR="00831311" w:rsidRPr="00510AD0" w:rsidRDefault="00831311" w:rsidP="00831311">
      <w:pPr>
        <w:ind w:left="2070" w:hanging="630"/>
      </w:pPr>
      <w:r w:rsidRPr="00510AD0">
        <w:t>ES</w:t>
      </w:r>
      <w:r w:rsidRPr="00510AD0">
        <w:rPr>
          <w:vertAlign w:val="subscript"/>
        </w:rPr>
        <w:t>d</w:t>
      </w:r>
      <w:r w:rsidRPr="00510AD0">
        <w:t xml:space="preserve"> =   ∑ max [0, DAP</w:t>
      </w:r>
      <w:r w:rsidRPr="00510AD0">
        <w:rPr>
          <w:vertAlign w:val="subscript"/>
        </w:rPr>
        <w:t>i</w:t>
      </w:r>
      <w:r w:rsidRPr="00510AD0">
        <w:t xml:space="preserve"> – DDP] </w:t>
      </w:r>
    </w:p>
    <w:p w14:paraId="35F3DEE8" w14:textId="77777777" w:rsidR="00831311" w:rsidRPr="00510AD0" w:rsidRDefault="00831311" w:rsidP="00831311">
      <w:pPr>
        <w:ind w:left="2160"/>
      </w:pPr>
      <w:r w:rsidRPr="00510AD0">
        <w:t>where,</w:t>
      </w:r>
    </w:p>
    <w:p w14:paraId="67BB3F79" w14:textId="77777777" w:rsidR="00831311" w:rsidRPr="00510AD0" w:rsidRDefault="00831311" w:rsidP="00831311">
      <w:pPr>
        <w:ind w:left="2160"/>
      </w:pPr>
      <w:r w:rsidRPr="00510AD0">
        <w:t>ES</w:t>
      </w:r>
      <w:r w:rsidRPr="00510AD0">
        <w:rPr>
          <w:vertAlign w:val="subscript"/>
        </w:rPr>
        <w:t>d</w:t>
      </w:r>
      <w:r w:rsidRPr="00510AD0">
        <w:t xml:space="preserve"> = Energy Settlement for day </w:t>
      </w:r>
      <w:r w:rsidRPr="00510AD0">
        <w:rPr>
          <w:i/>
        </w:rPr>
        <w:t>d</w:t>
      </w:r>
      <w:r w:rsidRPr="00510AD0">
        <w:t>;</w:t>
      </w:r>
    </w:p>
    <w:p w14:paraId="157EF2F4" w14:textId="77777777" w:rsidR="00831311" w:rsidRPr="00510AD0" w:rsidRDefault="00831311" w:rsidP="00831311">
      <w:pPr>
        <w:ind w:left="2160"/>
      </w:pPr>
      <w:r w:rsidRPr="00510AD0">
        <w:t xml:space="preserve">∑ = the sum from i = 1 to z, where z is number of Settlement Periods in day </w:t>
      </w:r>
      <w:r w:rsidRPr="00510AD0">
        <w:rPr>
          <w:i/>
          <w:iCs/>
        </w:rPr>
        <w:t>d</w:t>
      </w:r>
    </w:p>
    <w:p w14:paraId="423B46FE" w14:textId="77777777" w:rsidR="00831311" w:rsidRPr="00510AD0" w:rsidRDefault="00831311" w:rsidP="00831311">
      <w:pPr>
        <w:ind w:left="2160"/>
      </w:pPr>
      <w:r w:rsidRPr="00510AD0">
        <w:t>DAP</w:t>
      </w:r>
      <w:r w:rsidRPr="00510AD0">
        <w:rPr>
          <w:vertAlign w:val="subscript"/>
        </w:rPr>
        <w:t>i</w:t>
      </w:r>
      <w:r w:rsidRPr="00510AD0">
        <w:t xml:space="preserve"> = the Day-Ahead Price for Settlement Period </w:t>
      </w:r>
      <w:r w:rsidRPr="00510AD0">
        <w:rPr>
          <w:i/>
          <w:iCs/>
        </w:rPr>
        <w:t>i</w:t>
      </w:r>
      <w:r w:rsidRPr="00510AD0">
        <w:t>;</w:t>
      </w:r>
    </w:p>
    <w:p w14:paraId="771F5BA2" w14:textId="77777777" w:rsidR="00831311" w:rsidRPr="00510AD0" w:rsidRDefault="00831311" w:rsidP="00831311">
      <w:pPr>
        <w:ind w:left="1440" w:firstLine="720"/>
      </w:pPr>
      <w:r w:rsidRPr="00510AD0">
        <w:t xml:space="preserve">DDP = Daily Dispatch Price for Settlement Period </w:t>
      </w:r>
      <w:r w:rsidRPr="00510AD0">
        <w:rPr>
          <w:i/>
          <w:iCs/>
        </w:rPr>
        <w:t>i</w:t>
      </w:r>
      <w:r w:rsidRPr="00510AD0">
        <w:t>;</w:t>
      </w:r>
    </w:p>
    <w:p w14:paraId="090B3C22" w14:textId="77777777" w:rsidR="00831311" w:rsidRPr="00510AD0" w:rsidRDefault="00831311" w:rsidP="00831311">
      <w:pPr>
        <w:ind w:left="720"/>
      </w:pPr>
      <w:r w:rsidRPr="00510AD0">
        <w:t>The Daily Dispatch Price for each Settlement Period shall be calculated as follows:</w:t>
      </w:r>
    </w:p>
    <w:p w14:paraId="0F0E9595" w14:textId="77777777" w:rsidR="00831311" w:rsidRPr="00510AD0" w:rsidRDefault="00831311" w:rsidP="00831311">
      <w:pPr>
        <w:ind w:left="1440"/>
      </w:pPr>
      <w:r w:rsidRPr="00510AD0">
        <w:t>Daily Dispatch Price = [HR x (GP + GT + GH)] + VOM</w:t>
      </w:r>
    </w:p>
    <w:p w14:paraId="3D8D3591" w14:textId="77777777" w:rsidR="00831311" w:rsidRPr="00510AD0" w:rsidRDefault="00831311" w:rsidP="00831311">
      <w:pPr>
        <w:ind w:left="1440" w:firstLine="720"/>
      </w:pPr>
      <w:r w:rsidRPr="00510AD0">
        <w:lastRenderedPageBreak/>
        <w:t>where,</w:t>
      </w:r>
    </w:p>
    <w:p w14:paraId="6D4CDD9B" w14:textId="77777777" w:rsidR="00831311" w:rsidRPr="00510AD0" w:rsidRDefault="00831311" w:rsidP="00831311">
      <w:pPr>
        <w:ind w:left="2160"/>
      </w:pPr>
      <w:r w:rsidRPr="00510AD0">
        <w:t>HR = the Contract Heat Rate as set forth in Appendix II</w:t>
      </w:r>
    </w:p>
    <w:p w14:paraId="38DE6CA9" w14:textId="77777777" w:rsidR="00831311" w:rsidRPr="00510AD0" w:rsidRDefault="00831311" w:rsidP="00831311">
      <w:pPr>
        <w:ind w:left="2160"/>
      </w:pPr>
      <w:r w:rsidRPr="00510AD0">
        <w:t>GP = the Gas Index Price as set forth in Appendix II.</w:t>
      </w:r>
    </w:p>
    <w:p w14:paraId="47FB51DB" w14:textId="77777777" w:rsidR="00831311" w:rsidRPr="00510AD0" w:rsidRDefault="00831311" w:rsidP="00831311">
      <w:pPr>
        <w:ind w:left="2160"/>
      </w:pPr>
      <w:r w:rsidRPr="00510AD0">
        <w:t>GT = the Gas Transport Charges as set forth in Appendix II.</w:t>
      </w:r>
    </w:p>
    <w:p w14:paraId="0F801CD2" w14:textId="77777777" w:rsidR="00831311" w:rsidRPr="00510AD0" w:rsidRDefault="00831311" w:rsidP="00831311">
      <w:pPr>
        <w:ind w:left="2160"/>
      </w:pPr>
      <w:r w:rsidRPr="00510AD0">
        <w:t>GH = the product of the GHG Price and the GHG Conversion Rate.</w:t>
      </w:r>
    </w:p>
    <w:p w14:paraId="40DE6B19" w14:textId="77777777" w:rsidR="00831311" w:rsidRPr="00510AD0" w:rsidRDefault="00831311" w:rsidP="00831311">
      <w:pPr>
        <w:ind w:left="2160"/>
      </w:pPr>
      <w:r w:rsidRPr="00510AD0">
        <w:t xml:space="preserve">VOM = ___ </w:t>
      </w:r>
      <w:r w:rsidRPr="00510AD0">
        <w:rPr>
          <w:b/>
          <w:bCs/>
          <w:i/>
          <w:iCs/>
          <w:color w:val="0000FF"/>
        </w:rPr>
        <w:t>[insert Variable O&amp;M (in $/MWh)]</w:t>
      </w:r>
    </w:p>
    <w:p w14:paraId="2FBF6A83" w14:textId="570BE39D" w:rsidR="00831311" w:rsidRPr="00510AD0" w:rsidRDefault="00831311" w:rsidP="00831311">
      <w:pPr>
        <w:rPr>
          <w:b/>
          <w:bCs/>
          <w:i/>
          <w:iCs/>
        </w:rPr>
      </w:pPr>
      <w:r w:rsidRPr="00510AD0">
        <w:rPr>
          <w:b/>
          <w:bCs/>
          <w:i/>
          <w:iCs/>
        </w:rPr>
        <w:t>[</w:t>
      </w:r>
      <w:r w:rsidRPr="00510AD0">
        <w:rPr>
          <w:b/>
          <w:i/>
          <w:iCs/>
        </w:rPr>
        <w:t>Option 3:</w:t>
      </w:r>
      <w:r w:rsidRPr="00510AD0">
        <w:rPr>
          <w:b/>
          <w:bCs/>
          <w:i/>
          <w:iCs/>
        </w:rPr>
        <w:t xml:space="preserve"> Insert the formula below if the Project has a Fixed Profile:]</w:t>
      </w:r>
    </w:p>
    <w:p w14:paraId="5D65E18E" w14:textId="77777777" w:rsidR="00831311" w:rsidRPr="00510AD0" w:rsidRDefault="00831311" w:rsidP="00831311">
      <w:pPr>
        <w:ind w:left="720"/>
      </w:pPr>
      <w:r w:rsidRPr="00510AD0">
        <w:t>ES</w:t>
      </w:r>
      <w:r w:rsidRPr="00510AD0">
        <w:rPr>
          <w:vertAlign w:val="subscript"/>
        </w:rPr>
        <w:t>m</w:t>
      </w:r>
      <w:r w:rsidRPr="00510AD0">
        <w:t xml:space="preserve"> = ∑  ES</w:t>
      </w:r>
      <w:r w:rsidRPr="00510AD0">
        <w:rPr>
          <w:vertAlign w:val="subscript"/>
        </w:rPr>
        <w:t>d</w:t>
      </w:r>
    </w:p>
    <w:p w14:paraId="288AE6BE" w14:textId="77777777" w:rsidR="00831311" w:rsidRPr="00510AD0" w:rsidRDefault="00831311" w:rsidP="00831311">
      <w:pPr>
        <w:ind w:left="720"/>
      </w:pPr>
      <w:r w:rsidRPr="00510AD0">
        <w:tab/>
        <w:t>where,</w:t>
      </w:r>
    </w:p>
    <w:p w14:paraId="73C2DEE9" w14:textId="77777777" w:rsidR="00831311" w:rsidRPr="00510AD0" w:rsidRDefault="00831311" w:rsidP="00831311">
      <w:pPr>
        <w:ind w:left="720"/>
      </w:pPr>
      <w:r w:rsidRPr="00510AD0">
        <w:tab/>
        <w:t xml:space="preserve">∑ = the sum from </w:t>
      </w:r>
      <w:r w:rsidRPr="00510AD0">
        <w:rPr>
          <w:i/>
        </w:rPr>
        <w:t>d</w:t>
      </w:r>
      <w:r w:rsidRPr="00510AD0">
        <w:t xml:space="preserve">=1 to n, where n = the number of days in month </w:t>
      </w:r>
      <w:r w:rsidRPr="00510AD0">
        <w:rPr>
          <w:i/>
          <w:iCs/>
        </w:rPr>
        <w:t>m</w:t>
      </w:r>
    </w:p>
    <w:p w14:paraId="15EE9353" w14:textId="5D8270A7" w:rsidR="00831311" w:rsidRPr="00510AD0" w:rsidRDefault="00831311" w:rsidP="00831311">
      <w:pPr>
        <w:ind w:left="2070" w:hanging="630"/>
      </w:pPr>
      <w:r w:rsidRPr="00510AD0">
        <w:t>ES</w:t>
      </w:r>
      <w:r w:rsidRPr="00510AD0">
        <w:rPr>
          <w:vertAlign w:val="subscript"/>
        </w:rPr>
        <w:t>d</w:t>
      </w:r>
      <w:r w:rsidRPr="00510AD0">
        <w:t xml:space="preserve"> =  ∑ [CS</w:t>
      </w:r>
      <w:r w:rsidRPr="00510AD0">
        <w:rPr>
          <w:vertAlign w:val="subscript"/>
        </w:rPr>
        <w:t>i</w:t>
      </w:r>
      <w:r w:rsidR="00597F2A" w:rsidRPr="00510AD0">
        <w:t xml:space="preserve"> </w:t>
      </w:r>
      <w:r w:rsidRPr="00510AD0">
        <w:t>x max (0, DAP</w:t>
      </w:r>
      <w:r w:rsidRPr="00510AD0">
        <w:rPr>
          <w:vertAlign w:val="subscript"/>
        </w:rPr>
        <w:t>i</w:t>
      </w:r>
      <w:r w:rsidRPr="00510AD0">
        <w:t xml:space="preserve">)] </w:t>
      </w:r>
    </w:p>
    <w:p w14:paraId="7C96823C" w14:textId="77777777" w:rsidR="00831311" w:rsidRPr="00510AD0" w:rsidRDefault="00831311" w:rsidP="00831311">
      <w:pPr>
        <w:ind w:left="2160"/>
      </w:pPr>
      <w:r w:rsidRPr="00510AD0">
        <w:t>where,</w:t>
      </w:r>
    </w:p>
    <w:p w14:paraId="350F22A5" w14:textId="77777777" w:rsidR="00831311" w:rsidRPr="00510AD0" w:rsidRDefault="00831311" w:rsidP="00831311">
      <w:pPr>
        <w:ind w:left="2160"/>
      </w:pPr>
      <w:r w:rsidRPr="00510AD0">
        <w:t>ES</w:t>
      </w:r>
      <w:r w:rsidRPr="00510AD0">
        <w:rPr>
          <w:vertAlign w:val="subscript"/>
        </w:rPr>
        <w:t>d</w:t>
      </w:r>
      <w:r w:rsidRPr="00510AD0">
        <w:t xml:space="preserve"> = Energy Settlement for day </w:t>
      </w:r>
      <w:r w:rsidRPr="00510AD0">
        <w:rPr>
          <w:i/>
        </w:rPr>
        <w:t>d</w:t>
      </w:r>
      <w:r w:rsidRPr="00510AD0">
        <w:t>;</w:t>
      </w:r>
    </w:p>
    <w:p w14:paraId="20B0EEAF" w14:textId="77777777" w:rsidR="00831311" w:rsidRPr="00510AD0" w:rsidRDefault="00831311" w:rsidP="00831311">
      <w:pPr>
        <w:ind w:left="2160"/>
      </w:pPr>
      <w:r w:rsidRPr="00510AD0">
        <w:t xml:space="preserve">∑ = the sum from i = 1 to z, where z is number of Settlement Periods in day </w:t>
      </w:r>
      <w:r w:rsidRPr="00510AD0">
        <w:rPr>
          <w:i/>
          <w:iCs/>
        </w:rPr>
        <w:t>d</w:t>
      </w:r>
    </w:p>
    <w:p w14:paraId="0110324D" w14:textId="77777777" w:rsidR="00831311" w:rsidRPr="00510AD0" w:rsidRDefault="00831311" w:rsidP="00831311">
      <w:pPr>
        <w:ind w:left="2160"/>
      </w:pPr>
      <w:r w:rsidRPr="00510AD0">
        <w:t xml:space="preserve">CS = Contract Schedule in megawatt hours for Settlement Period </w:t>
      </w:r>
      <w:r w:rsidRPr="00510AD0">
        <w:rPr>
          <w:i/>
          <w:iCs/>
        </w:rPr>
        <w:t>i</w:t>
      </w:r>
      <w:r w:rsidRPr="00510AD0">
        <w:t xml:space="preserve"> as set forth in Appendix XVI </w:t>
      </w:r>
      <w:r w:rsidRPr="00510AD0">
        <w:rPr>
          <w:b/>
          <w:bCs/>
          <w:i/>
          <w:iCs/>
          <w:color w:val="0000FF"/>
        </w:rPr>
        <w:t>[based 8760-hour generation profile provided by Seller at execution]</w:t>
      </w:r>
    </w:p>
    <w:p w14:paraId="1BD0DD98" w14:textId="77777777" w:rsidR="00831311" w:rsidRPr="00510AD0" w:rsidRDefault="00831311" w:rsidP="00831311">
      <w:pPr>
        <w:ind w:left="1440" w:firstLine="720"/>
      </w:pPr>
      <w:r w:rsidRPr="00510AD0">
        <w:t>DAP</w:t>
      </w:r>
      <w:r w:rsidRPr="00510AD0">
        <w:rPr>
          <w:vertAlign w:val="subscript"/>
        </w:rPr>
        <w:t>i</w:t>
      </w:r>
      <w:r w:rsidRPr="00510AD0">
        <w:t xml:space="preserve"> = the Day-Ahead Price for Settlement Period </w:t>
      </w:r>
      <w:r w:rsidRPr="00510AD0">
        <w:rPr>
          <w:i/>
          <w:iCs/>
        </w:rPr>
        <w:t>i</w:t>
      </w:r>
      <w:r w:rsidRPr="00510AD0">
        <w:t>;</w:t>
      </w:r>
    </w:p>
    <w:p w14:paraId="36D1E2F1" w14:textId="77777777" w:rsidR="00831311" w:rsidRPr="00510AD0" w:rsidRDefault="00831311" w:rsidP="00831311">
      <w:pPr>
        <w:rPr>
          <w:b/>
        </w:rPr>
      </w:pPr>
    </w:p>
    <w:p w14:paraId="2CFBFF69" w14:textId="77777777" w:rsidR="00831311" w:rsidRPr="00510AD0" w:rsidRDefault="00831311" w:rsidP="00831311">
      <w:pPr>
        <w:rPr>
          <w:b/>
          <w:bCs/>
          <w:i/>
          <w:iCs/>
        </w:rPr>
      </w:pPr>
      <w:r w:rsidRPr="00510AD0">
        <w:rPr>
          <w:b/>
          <w:bCs/>
          <w:i/>
          <w:iCs/>
        </w:rPr>
        <w:t>[</w:t>
      </w:r>
      <w:r w:rsidRPr="00510AD0">
        <w:rPr>
          <w:b/>
          <w:i/>
          <w:iCs/>
        </w:rPr>
        <w:t>Option 4:</w:t>
      </w:r>
      <w:r w:rsidRPr="00510AD0">
        <w:rPr>
          <w:b/>
          <w:bCs/>
          <w:i/>
          <w:iCs/>
        </w:rPr>
        <w:t xml:space="preserve"> Insert the formula below if the Seller of the Project is offering a Monthly Price Schedule:]</w:t>
      </w:r>
    </w:p>
    <w:p w14:paraId="5A821A09" w14:textId="77777777" w:rsidR="00831311" w:rsidRPr="00510AD0" w:rsidRDefault="00831311" w:rsidP="00831311">
      <w:pPr>
        <w:ind w:left="720"/>
      </w:pPr>
      <w:r w:rsidRPr="00510AD0">
        <w:t>ES</w:t>
      </w:r>
      <w:r w:rsidRPr="00510AD0">
        <w:rPr>
          <w:vertAlign w:val="subscript"/>
        </w:rPr>
        <w:t>m</w:t>
      </w:r>
      <w:r w:rsidRPr="00510AD0">
        <w:t xml:space="preserve"> = ∑  max (0, DAP</w:t>
      </w:r>
      <w:r w:rsidRPr="00510AD0">
        <w:rPr>
          <w:vertAlign w:val="subscript"/>
        </w:rPr>
        <w:t>i</w:t>
      </w:r>
      <w:r w:rsidRPr="00510AD0">
        <w:t xml:space="preserve"> – ESP</w:t>
      </w:r>
      <w:r w:rsidRPr="00510AD0">
        <w:rPr>
          <w:vertAlign w:val="subscript"/>
        </w:rPr>
        <w:t>m</w:t>
      </w:r>
      <w:r w:rsidRPr="00510AD0">
        <w:t>) × ESPQ</w:t>
      </w:r>
      <w:r w:rsidRPr="00510AD0">
        <w:rPr>
          <w:vertAlign w:val="subscript"/>
        </w:rPr>
        <w:t>m</w:t>
      </w:r>
      <w:r w:rsidRPr="00510AD0">
        <w:t>,</w:t>
      </w:r>
    </w:p>
    <w:p w14:paraId="4C2DC2A1" w14:textId="77777777" w:rsidR="00831311" w:rsidRPr="00510AD0" w:rsidRDefault="00831311" w:rsidP="00831311">
      <w:pPr>
        <w:ind w:left="720"/>
      </w:pPr>
      <w:r w:rsidRPr="00510AD0">
        <w:tab/>
        <w:t>where,</w:t>
      </w:r>
    </w:p>
    <w:p w14:paraId="129081E4" w14:textId="77777777" w:rsidR="00831311" w:rsidRPr="00510AD0" w:rsidRDefault="00831311" w:rsidP="00831311">
      <w:pPr>
        <w:ind w:left="1440" w:hanging="720"/>
      </w:pPr>
      <w:r w:rsidRPr="00510AD0">
        <w:tab/>
        <w:t xml:space="preserve">∑ = the sum from </w:t>
      </w:r>
      <w:r w:rsidRPr="00510AD0">
        <w:rPr>
          <w:i/>
        </w:rPr>
        <w:t>i</w:t>
      </w:r>
      <w:r w:rsidRPr="00510AD0">
        <w:t xml:space="preserve">=1 to n, where n = the number of Energy Settlement Hours for month </w:t>
      </w:r>
      <w:r w:rsidRPr="00510AD0">
        <w:rPr>
          <w:i/>
          <w:iCs/>
        </w:rPr>
        <w:t xml:space="preserve">m </w:t>
      </w:r>
      <w:r w:rsidRPr="00510AD0">
        <w:t>as set forth in Appendix XVII</w:t>
      </w:r>
    </w:p>
    <w:p w14:paraId="4CD3D4C7" w14:textId="77777777" w:rsidR="00831311" w:rsidRPr="00510AD0" w:rsidRDefault="00831311" w:rsidP="00831311">
      <w:pPr>
        <w:ind w:left="720" w:firstLine="720"/>
      </w:pPr>
      <w:r w:rsidRPr="00510AD0">
        <w:t>DAP</w:t>
      </w:r>
      <w:r w:rsidRPr="00510AD0">
        <w:rPr>
          <w:vertAlign w:val="subscript"/>
        </w:rPr>
        <w:t>i</w:t>
      </w:r>
      <w:r w:rsidRPr="00510AD0">
        <w:t xml:space="preserve"> = the i-th largest value of DAP for all Settlement Periods in month </w:t>
      </w:r>
      <w:r w:rsidRPr="00510AD0">
        <w:rPr>
          <w:i/>
          <w:iCs/>
        </w:rPr>
        <w:t>m</w:t>
      </w:r>
      <w:r w:rsidRPr="00510AD0">
        <w:t>;</w:t>
      </w:r>
    </w:p>
    <w:p w14:paraId="7596C509" w14:textId="77777777" w:rsidR="00831311" w:rsidRPr="00510AD0" w:rsidRDefault="00831311" w:rsidP="00831311">
      <w:pPr>
        <w:ind w:left="720" w:firstLine="720"/>
      </w:pPr>
      <w:r w:rsidRPr="00510AD0">
        <w:t>ESP</w:t>
      </w:r>
      <w:r w:rsidRPr="00510AD0">
        <w:rPr>
          <w:vertAlign w:val="subscript"/>
        </w:rPr>
        <w:t>m</w:t>
      </w:r>
      <w:r w:rsidRPr="00510AD0">
        <w:t xml:space="preserve"> = the Energy Settlement Price for month </w:t>
      </w:r>
      <w:r w:rsidRPr="00510AD0">
        <w:rPr>
          <w:i/>
        </w:rPr>
        <w:t xml:space="preserve">m </w:t>
      </w:r>
      <w:r w:rsidRPr="00510AD0">
        <w:t>as set forth in Appendix XVII</w:t>
      </w:r>
    </w:p>
    <w:p w14:paraId="0C10AC7E" w14:textId="77777777" w:rsidR="004E4652" w:rsidRPr="00510AD0" w:rsidRDefault="00831311" w:rsidP="00A67FB8">
      <w:pPr>
        <w:ind w:left="720" w:firstLine="720"/>
        <w:sectPr w:rsidR="004E4652" w:rsidRPr="00510AD0" w:rsidSect="0077573F">
          <w:footerReference w:type="default" r:id="rId61"/>
          <w:footerReference w:type="first" r:id="rId62"/>
          <w:pgSz w:w="12240" w:h="15840"/>
          <w:pgMar w:top="1440" w:right="1440" w:bottom="1440" w:left="1440" w:header="432" w:footer="432" w:gutter="0"/>
          <w:pgNumType w:start="1"/>
          <w:cols w:space="720"/>
          <w:docGrid w:linePitch="360"/>
        </w:sectPr>
      </w:pPr>
      <w:r w:rsidRPr="00510AD0">
        <w:t>ESPQm = Energy Settlement Payment Quantity for month m</w:t>
      </w:r>
    </w:p>
    <w:p w14:paraId="17CCD720" w14:textId="0A8B6C1D" w:rsidR="0071486D" w:rsidRPr="00510AD0" w:rsidRDefault="0071486D" w:rsidP="0071486D">
      <w:pPr>
        <w:pStyle w:val="Appendix"/>
      </w:pPr>
      <w:r w:rsidRPr="00510AD0">
        <w:lastRenderedPageBreak/>
        <w:t xml:space="preserve">[APPENDIX </w:t>
      </w:r>
      <w:r w:rsidR="0055205C" w:rsidRPr="00510AD0">
        <w:t>XVI</w:t>
      </w:r>
      <w:r w:rsidR="0055205C" w:rsidRPr="00510AD0">
        <w:br/>
      </w:r>
      <w:r w:rsidR="0055205C" w:rsidRPr="00510AD0">
        <w:br/>
        <w:t>CONTRACT SCHEDULE</w:t>
      </w:r>
      <w:r w:rsidRPr="00510AD0">
        <w:t>]</w:t>
      </w:r>
      <w:bookmarkStart w:id="1004" w:name="_Ref69141909"/>
      <w:r w:rsidRPr="00510AD0">
        <w:rPr>
          <w:rStyle w:val="FootnoteReference"/>
        </w:rPr>
        <w:footnoteReference w:id="65"/>
      </w:r>
      <w:bookmarkEnd w:id="1004"/>
    </w:p>
    <w:p w14:paraId="44B48C87" w14:textId="77777777" w:rsidR="000456CA" w:rsidRPr="00510AD0" w:rsidRDefault="0071486D" w:rsidP="00B52660">
      <w:pPr>
        <w:pStyle w:val="BodyTextLeft"/>
      </w:pPr>
      <w:r w:rsidRPr="00510AD0">
        <w:t>For the purposes</w:t>
      </w:r>
    </w:p>
    <w:p w14:paraId="2865ABA3" w14:textId="4016FB19" w:rsidR="0071486D" w:rsidRPr="00510AD0" w:rsidRDefault="0071486D" w:rsidP="0071486D">
      <w:pPr>
        <w:pStyle w:val="BodyTextLeft"/>
      </w:pPr>
      <w:r w:rsidRPr="00510AD0">
        <w:t xml:space="preserve"> of calculating the Energy Settlement,</w:t>
      </w:r>
      <w:r w:rsidR="00994B8B" w:rsidRPr="00510AD0">
        <w:t xml:space="preserve"> the </w:t>
      </w:r>
      <w:r w:rsidR="0055205C" w:rsidRPr="00510AD0">
        <w:t>Contract Schedule shall be as follows. All values are noted in megawatt hours</w:t>
      </w:r>
      <w:r w:rsidR="00FC1FA7" w:rsidRPr="00510AD0">
        <w:t>.</w:t>
      </w:r>
    </w:p>
    <w:tbl>
      <w:tblPr>
        <w:tblStyle w:val="TableGrid"/>
        <w:tblW w:w="13001" w:type="dxa"/>
        <w:tblLook w:val="04A0" w:firstRow="1" w:lastRow="0" w:firstColumn="1" w:lastColumn="0" w:noHBand="0" w:noVBand="1"/>
      </w:tblPr>
      <w:tblGrid>
        <w:gridCol w:w="1255"/>
        <w:gridCol w:w="500"/>
        <w:gridCol w:w="508"/>
        <w:gridCol w:w="508"/>
        <w:gridCol w:w="508"/>
        <w:gridCol w:w="508"/>
        <w:gridCol w:w="508"/>
        <w:gridCol w:w="508"/>
        <w:gridCol w:w="508"/>
        <w:gridCol w:w="508"/>
        <w:gridCol w:w="513"/>
        <w:gridCol w:w="513"/>
        <w:gridCol w:w="513"/>
        <w:gridCol w:w="513"/>
        <w:gridCol w:w="513"/>
        <w:gridCol w:w="513"/>
        <w:gridCol w:w="513"/>
        <w:gridCol w:w="513"/>
        <w:gridCol w:w="513"/>
        <w:gridCol w:w="513"/>
        <w:gridCol w:w="513"/>
        <w:gridCol w:w="513"/>
        <w:gridCol w:w="513"/>
        <w:gridCol w:w="513"/>
      </w:tblGrid>
      <w:tr w:rsidR="000456CA" w:rsidRPr="00510AD0" w14:paraId="668A7389" w14:textId="77777777" w:rsidTr="00BF2589">
        <w:trPr>
          <w:trHeight w:val="362"/>
        </w:trPr>
        <w:tc>
          <w:tcPr>
            <w:tcW w:w="1255" w:type="dxa"/>
          </w:tcPr>
          <w:p w14:paraId="66711D41" w14:textId="77777777" w:rsidR="000456CA" w:rsidRPr="00510AD0" w:rsidRDefault="000456CA" w:rsidP="00BF2589">
            <w:pPr>
              <w:rPr>
                <w:rFonts w:ascii="Times New Roman" w:hAnsi="Times New Roman" w:cs="Times New Roman"/>
                <w:b/>
              </w:rPr>
            </w:pPr>
          </w:p>
        </w:tc>
        <w:tc>
          <w:tcPr>
            <w:tcW w:w="11746" w:type="dxa"/>
            <w:gridSpan w:val="23"/>
          </w:tcPr>
          <w:p w14:paraId="1C7C45B2"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Hour Ending</w:t>
            </w:r>
          </w:p>
        </w:tc>
      </w:tr>
      <w:tr w:rsidR="000456CA" w:rsidRPr="00510AD0" w14:paraId="13FDD707" w14:textId="77777777" w:rsidTr="00BF2589">
        <w:trPr>
          <w:trHeight w:val="362"/>
        </w:trPr>
        <w:tc>
          <w:tcPr>
            <w:tcW w:w="1255" w:type="dxa"/>
          </w:tcPr>
          <w:p w14:paraId="687F3F9C" w14:textId="77777777" w:rsidR="000456CA" w:rsidRPr="00510AD0" w:rsidRDefault="000456CA" w:rsidP="00BF2589">
            <w:pPr>
              <w:rPr>
                <w:rFonts w:ascii="Times New Roman" w:hAnsi="Times New Roman" w:cs="Times New Roman"/>
                <w:b/>
              </w:rPr>
            </w:pPr>
            <w:r w:rsidRPr="00510AD0">
              <w:rPr>
                <w:rFonts w:ascii="Times New Roman" w:hAnsi="Times New Roman" w:cs="Times New Roman"/>
                <w:b/>
              </w:rPr>
              <w:t xml:space="preserve">Contract Month </w:t>
            </w:r>
          </w:p>
        </w:tc>
        <w:tc>
          <w:tcPr>
            <w:tcW w:w="500" w:type="dxa"/>
          </w:tcPr>
          <w:p w14:paraId="74B832A3"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w:t>
            </w:r>
          </w:p>
        </w:tc>
        <w:tc>
          <w:tcPr>
            <w:tcW w:w="508" w:type="dxa"/>
          </w:tcPr>
          <w:p w14:paraId="597B97CA"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2</w:t>
            </w:r>
          </w:p>
        </w:tc>
        <w:tc>
          <w:tcPr>
            <w:tcW w:w="508" w:type="dxa"/>
          </w:tcPr>
          <w:p w14:paraId="757B14E5"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3</w:t>
            </w:r>
          </w:p>
        </w:tc>
        <w:tc>
          <w:tcPr>
            <w:tcW w:w="508" w:type="dxa"/>
          </w:tcPr>
          <w:p w14:paraId="0DDD8058"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4</w:t>
            </w:r>
          </w:p>
        </w:tc>
        <w:tc>
          <w:tcPr>
            <w:tcW w:w="508" w:type="dxa"/>
          </w:tcPr>
          <w:p w14:paraId="059159DC"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5</w:t>
            </w:r>
          </w:p>
        </w:tc>
        <w:tc>
          <w:tcPr>
            <w:tcW w:w="508" w:type="dxa"/>
          </w:tcPr>
          <w:p w14:paraId="3430EEA4"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6</w:t>
            </w:r>
          </w:p>
        </w:tc>
        <w:tc>
          <w:tcPr>
            <w:tcW w:w="508" w:type="dxa"/>
          </w:tcPr>
          <w:p w14:paraId="543FD960"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7</w:t>
            </w:r>
          </w:p>
        </w:tc>
        <w:tc>
          <w:tcPr>
            <w:tcW w:w="508" w:type="dxa"/>
          </w:tcPr>
          <w:p w14:paraId="308322E0"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8</w:t>
            </w:r>
          </w:p>
        </w:tc>
        <w:tc>
          <w:tcPr>
            <w:tcW w:w="508" w:type="dxa"/>
          </w:tcPr>
          <w:p w14:paraId="31DDAD8A"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9</w:t>
            </w:r>
          </w:p>
        </w:tc>
        <w:tc>
          <w:tcPr>
            <w:tcW w:w="513" w:type="dxa"/>
          </w:tcPr>
          <w:p w14:paraId="20574986"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10</w:t>
            </w:r>
          </w:p>
        </w:tc>
        <w:tc>
          <w:tcPr>
            <w:tcW w:w="513" w:type="dxa"/>
          </w:tcPr>
          <w:p w14:paraId="4FAC4A9B"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11</w:t>
            </w:r>
          </w:p>
        </w:tc>
        <w:tc>
          <w:tcPr>
            <w:tcW w:w="513" w:type="dxa"/>
          </w:tcPr>
          <w:p w14:paraId="1FB70D9A"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12</w:t>
            </w:r>
          </w:p>
        </w:tc>
        <w:tc>
          <w:tcPr>
            <w:tcW w:w="513" w:type="dxa"/>
          </w:tcPr>
          <w:p w14:paraId="4C9198FF"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13</w:t>
            </w:r>
          </w:p>
        </w:tc>
        <w:tc>
          <w:tcPr>
            <w:tcW w:w="513" w:type="dxa"/>
          </w:tcPr>
          <w:p w14:paraId="08A7567E"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14</w:t>
            </w:r>
          </w:p>
        </w:tc>
        <w:tc>
          <w:tcPr>
            <w:tcW w:w="513" w:type="dxa"/>
          </w:tcPr>
          <w:p w14:paraId="16ADC9D0"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16</w:t>
            </w:r>
          </w:p>
        </w:tc>
        <w:tc>
          <w:tcPr>
            <w:tcW w:w="513" w:type="dxa"/>
          </w:tcPr>
          <w:p w14:paraId="2423E038"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17</w:t>
            </w:r>
          </w:p>
        </w:tc>
        <w:tc>
          <w:tcPr>
            <w:tcW w:w="513" w:type="dxa"/>
          </w:tcPr>
          <w:p w14:paraId="0F5D8BE7"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18</w:t>
            </w:r>
          </w:p>
        </w:tc>
        <w:tc>
          <w:tcPr>
            <w:tcW w:w="513" w:type="dxa"/>
          </w:tcPr>
          <w:p w14:paraId="12CCE24E"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19</w:t>
            </w:r>
          </w:p>
        </w:tc>
        <w:tc>
          <w:tcPr>
            <w:tcW w:w="513" w:type="dxa"/>
          </w:tcPr>
          <w:p w14:paraId="59128574"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20</w:t>
            </w:r>
          </w:p>
        </w:tc>
        <w:tc>
          <w:tcPr>
            <w:tcW w:w="513" w:type="dxa"/>
          </w:tcPr>
          <w:p w14:paraId="3696990B"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21</w:t>
            </w:r>
          </w:p>
        </w:tc>
        <w:tc>
          <w:tcPr>
            <w:tcW w:w="513" w:type="dxa"/>
          </w:tcPr>
          <w:p w14:paraId="4A7A1609"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22</w:t>
            </w:r>
          </w:p>
        </w:tc>
        <w:tc>
          <w:tcPr>
            <w:tcW w:w="513" w:type="dxa"/>
          </w:tcPr>
          <w:p w14:paraId="48AC2558"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23</w:t>
            </w:r>
          </w:p>
        </w:tc>
        <w:tc>
          <w:tcPr>
            <w:tcW w:w="513" w:type="dxa"/>
          </w:tcPr>
          <w:p w14:paraId="0F218527" w14:textId="77777777" w:rsidR="000456CA" w:rsidRPr="00510AD0" w:rsidRDefault="000456CA" w:rsidP="00BF2589">
            <w:pPr>
              <w:jc w:val="center"/>
              <w:rPr>
                <w:rFonts w:ascii="Times New Roman" w:hAnsi="Times New Roman" w:cs="Times New Roman"/>
                <w:b/>
              </w:rPr>
            </w:pPr>
            <w:r w:rsidRPr="00510AD0">
              <w:rPr>
                <w:rFonts w:ascii="Times New Roman" w:hAnsi="Times New Roman" w:cs="Times New Roman"/>
                <w:b/>
              </w:rPr>
              <w:t>24</w:t>
            </w:r>
          </w:p>
        </w:tc>
      </w:tr>
      <w:tr w:rsidR="000456CA" w:rsidRPr="00510AD0" w14:paraId="225A1F01" w14:textId="77777777" w:rsidTr="00BF2589">
        <w:trPr>
          <w:trHeight w:val="440"/>
        </w:trPr>
        <w:tc>
          <w:tcPr>
            <w:tcW w:w="1255" w:type="dxa"/>
          </w:tcPr>
          <w:p w14:paraId="0C2EE151" w14:textId="77777777" w:rsidR="000456CA" w:rsidRPr="00510AD0" w:rsidRDefault="000456CA" w:rsidP="00BF2589">
            <w:pPr>
              <w:rPr>
                <w:rFonts w:ascii="Times New Roman" w:hAnsi="Times New Roman" w:cs="Times New Roman"/>
              </w:rPr>
            </w:pPr>
            <w:r w:rsidRPr="00510AD0">
              <w:rPr>
                <w:rFonts w:ascii="Times New Roman" w:hAnsi="Times New Roman" w:cs="Times New Roman"/>
                <w:b/>
                <w:i/>
              </w:rPr>
              <w:t>[Insert Month and Year]</w:t>
            </w:r>
            <w:r w:rsidRPr="00510AD0">
              <w:rPr>
                <w:rStyle w:val="FootnoteReference"/>
                <w:rFonts w:ascii="Times New Roman" w:hAnsi="Times New Roman" w:cs="Times New Roman"/>
              </w:rPr>
              <w:footnoteReference w:id="66"/>
            </w:r>
          </w:p>
        </w:tc>
        <w:tc>
          <w:tcPr>
            <w:tcW w:w="500" w:type="dxa"/>
          </w:tcPr>
          <w:p w14:paraId="7D86959F" w14:textId="77777777" w:rsidR="000456CA" w:rsidRPr="00510AD0" w:rsidRDefault="000456CA" w:rsidP="00BF2589">
            <w:pPr>
              <w:rPr>
                <w:rFonts w:ascii="Times New Roman" w:hAnsi="Times New Roman" w:cs="Times New Roman"/>
                <w:b/>
              </w:rPr>
            </w:pPr>
          </w:p>
        </w:tc>
        <w:tc>
          <w:tcPr>
            <w:tcW w:w="508" w:type="dxa"/>
          </w:tcPr>
          <w:p w14:paraId="2F26F39E" w14:textId="77777777" w:rsidR="000456CA" w:rsidRPr="00510AD0" w:rsidRDefault="000456CA" w:rsidP="00BF2589">
            <w:pPr>
              <w:rPr>
                <w:rFonts w:ascii="Times New Roman" w:hAnsi="Times New Roman" w:cs="Times New Roman"/>
                <w:b/>
              </w:rPr>
            </w:pPr>
          </w:p>
        </w:tc>
        <w:tc>
          <w:tcPr>
            <w:tcW w:w="508" w:type="dxa"/>
          </w:tcPr>
          <w:p w14:paraId="045CBBCF" w14:textId="77777777" w:rsidR="000456CA" w:rsidRPr="00510AD0" w:rsidRDefault="000456CA" w:rsidP="00BF2589">
            <w:pPr>
              <w:rPr>
                <w:rFonts w:ascii="Times New Roman" w:hAnsi="Times New Roman" w:cs="Times New Roman"/>
                <w:b/>
              </w:rPr>
            </w:pPr>
          </w:p>
        </w:tc>
        <w:tc>
          <w:tcPr>
            <w:tcW w:w="508" w:type="dxa"/>
          </w:tcPr>
          <w:p w14:paraId="749DABA5" w14:textId="77777777" w:rsidR="000456CA" w:rsidRPr="00510AD0" w:rsidRDefault="000456CA" w:rsidP="00BF2589">
            <w:pPr>
              <w:rPr>
                <w:rFonts w:ascii="Times New Roman" w:hAnsi="Times New Roman" w:cs="Times New Roman"/>
                <w:b/>
              </w:rPr>
            </w:pPr>
          </w:p>
        </w:tc>
        <w:tc>
          <w:tcPr>
            <w:tcW w:w="508" w:type="dxa"/>
          </w:tcPr>
          <w:p w14:paraId="5FCEC2AA" w14:textId="77777777" w:rsidR="000456CA" w:rsidRPr="00510AD0" w:rsidRDefault="000456CA" w:rsidP="00BF2589">
            <w:pPr>
              <w:rPr>
                <w:rFonts w:ascii="Times New Roman" w:hAnsi="Times New Roman" w:cs="Times New Roman"/>
                <w:b/>
              </w:rPr>
            </w:pPr>
          </w:p>
        </w:tc>
        <w:tc>
          <w:tcPr>
            <w:tcW w:w="508" w:type="dxa"/>
          </w:tcPr>
          <w:p w14:paraId="1A0ED8FD" w14:textId="77777777" w:rsidR="000456CA" w:rsidRPr="00510AD0" w:rsidRDefault="000456CA" w:rsidP="00BF2589">
            <w:pPr>
              <w:rPr>
                <w:rFonts w:ascii="Times New Roman" w:hAnsi="Times New Roman" w:cs="Times New Roman"/>
                <w:b/>
              </w:rPr>
            </w:pPr>
          </w:p>
        </w:tc>
        <w:tc>
          <w:tcPr>
            <w:tcW w:w="508" w:type="dxa"/>
          </w:tcPr>
          <w:p w14:paraId="46A72499" w14:textId="77777777" w:rsidR="000456CA" w:rsidRPr="00510AD0" w:rsidRDefault="000456CA" w:rsidP="00BF2589">
            <w:pPr>
              <w:rPr>
                <w:rFonts w:ascii="Times New Roman" w:hAnsi="Times New Roman" w:cs="Times New Roman"/>
                <w:b/>
              </w:rPr>
            </w:pPr>
          </w:p>
        </w:tc>
        <w:tc>
          <w:tcPr>
            <w:tcW w:w="508" w:type="dxa"/>
          </w:tcPr>
          <w:p w14:paraId="1533CE63" w14:textId="77777777" w:rsidR="000456CA" w:rsidRPr="00510AD0" w:rsidRDefault="000456CA" w:rsidP="00BF2589">
            <w:pPr>
              <w:rPr>
                <w:rFonts w:ascii="Times New Roman" w:hAnsi="Times New Roman" w:cs="Times New Roman"/>
                <w:b/>
              </w:rPr>
            </w:pPr>
          </w:p>
        </w:tc>
        <w:tc>
          <w:tcPr>
            <w:tcW w:w="508" w:type="dxa"/>
          </w:tcPr>
          <w:p w14:paraId="7F816668" w14:textId="77777777" w:rsidR="000456CA" w:rsidRPr="00510AD0" w:rsidRDefault="000456CA" w:rsidP="00BF2589">
            <w:pPr>
              <w:rPr>
                <w:rFonts w:ascii="Times New Roman" w:hAnsi="Times New Roman" w:cs="Times New Roman"/>
                <w:b/>
              </w:rPr>
            </w:pPr>
          </w:p>
        </w:tc>
        <w:tc>
          <w:tcPr>
            <w:tcW w:w="513" w:type="dxa"/>
          </w:tcPr>
          <w:p w14:paraId="224297B3" w14:textId="77777777" w:rsidR="000456CA" w:rsidRPr="00510AD0" w:rsidRDefault="000456CA" w:rsidP="00BF2589">
            <w:pPr>
              <w:rPr>
                <w:rFonts w:ascii="Times New Roman" w:hAnsi="Times New Roman" w:cs="Times New Roman"/>
                <w:b/>
              </w:rPr>
            </w:pPr>
          </w:p>
        </w:tc>
        <w:tc>
          <w:tcPr>
            <w:tcW w:w="513" w:type="dxa"/>
          </w:tcPr>
          <w:p w14:paraId="6FC26180" w14:textId="77777777" w:rsidR="000456CA" w:rsidRPr="00510AD0" w:rsidRDefault="000456CA" w:rsidP="00BF2589">
            <w:pPr>
              <w:rPr>
                <w:rFonts w:ascii="Times New Roman" w:hAnsi="Times New Roman" w:cs="Times New Roman"/>
                <w:b/>
              </w:rPr>
            </w:pPr>
          </w:p>
        </w:tc>
        <w:tc>
          <w:tcPr>
            <w:tcW w:w="513" w:type="dxa"/>
          </w:tcPr>
          <w:p w14:paraId="0F23638A" w14:textId="77777777" w:rsidR="000456CA" w:rsidRPr="00510AD0" w:rsidRDefault="000456CA" w:rsidP="00BF2589">
            <w:pPr>
              <w:rPr>
                <w:rFonts w:ascii="Times New Roman" w:hAnsi="Times New Roman" w:cs="Times New Roman"/>
                <w:b/>
              </w:rPr>
            </w:pPr>
          </w:p>
        </w:tc>
        <w:tc>
          <w:tcPr>
            <w:tcW w:w="513" w:type="dxa"/>
          </w:tcPr>
          <w:p w14:paraId="5BAE584F" w14:textId="77777777" w:rsidR="000456CA" w:rsidRPr="00510AD0" w:rsidRDefault="000456CA" w:rsidP="00BF2589">
            <w:pPr>
              <w:rPr>
                <w:rFonts w:ascii="Times New Roman" w:hAnsi="Times New Roman" w:cs="Times New Roman"/>
                <w:b/>
              </w:rPr>
            </w:pPr>
          </w:p>
        </w:tc>
        <w:tc>
          <w:tcPr>
            <w:tcW w:w="513" w:type="dxa"/>
          </w:tcPr>
          <w:p w14:paraId="4A7EAADC" w14:textId="77777777" w:rsidR="000456CA" w:rsidRPr="00510AD0" w:rsidRDefault="000456CA" w:rsidP="00BF2589">
            <w:pPr>
              <w:rPr>
                <w:rFonts w:ascii="Times New Roman" w:hAnsi="Times New Roman" w:cs="Times New Roman"/>
                <w:b/>
              </w:rPr>
            </w:pPr>
          </w:p>
        </w:tc>
        <w:tc>
          <w:tcPr>
            <w:tcW w:w="513" w:type="dxa"/>
          </w:tcPr>
          <w:p w14:paraId="786DA3CB" w14:textId="77777777" w:rsidR="000456CA" w:rsidRPr="00510AD0" w:rsidRDefault="000456CA" w:rsidP="00BF2589">
            <w:pPr>
              <w:rPr>
                <w:rFonts w:ascii="Times New Roman" w:hAnsi="Times New Roman" w:cs="Times New Roman"/>
                <w:b/>
              </w:rPr>
            </w:pPr>
          </w:p>
        </w:tc>
        <w:tc>
          <w:tcPr>
            <w:tcW w:w="513" w:type="dxa"/>
          </w:tcPr>
          <w:p w14:paraId="213195D7" w14:textId="77777777" w:rsidR="000456CA" w:rsidRPr="00510AD0" w:rsidRDefault="000456CA" w:rsidP="00BF2589">
            <w:pPr>
              <w:rPr>
                <w:rFonts w:ascii="Times New Roman" w:hAnsi="Times New Roman" w:cs="Times New Roman"/>
                <w:b/>
              </w:rPr>
            </w:pPr>
          </w:p>
        </w:tc>
        <w:tc>
          <w:tcPr>
            <w:tcW w:w="513" w:type="dxa"/>
          </w:tcPr>
          <w:p w14:paraId="064E0C96" w14:textId="77777777" w:rsidR="000456CA" w:rsidRPr="00510AD0" w:rsidRDefault="000456CA" w:rsidP="00BF2589">
            <w:pPr>
              <w:rPr>
                <w:rFonts w:ascii="Times New Roman" w:hAnsi="Times New Roman" w:cs="Times New Roman"/>
                <w:b/>
              </w:rPr>
            </w:pPr>
          </w:p>
        </w:tc>
        <w:tc>
          <w:tcPr>
            <w:tcW w:w="513" w:type="dxa"/>
          </w:tcPr>
          <w:p w14:paraId="7B4581CC" w14:textId="77777777" w:rsidR="000456CA" w:rsidRPr="00510AD0" w:rsidRDefault="000456CA" w:rsidP="00BF2589">
            <w:pPr>
              <w:rPr>
                <w:rFonts w:ascii="Times New Roman" w:hAnsi="Times New Roman" w:cs="Times New Roman"/>
                <w:b/>
              </w:rPr>
            </w:pPr>
          </w:p>
        </w:tc>
        <w:tc>
          <w:tcPr>
            <w:tcW w:w="513" w:type="dxa"/>
          </w:tcPr>
          <w:p w14:paraId="34916EDD" w14:textId="77777777" w:rsidR="000456CA" w:rsidRPr="00510AD0" w:rsidRDefault="000456CA" w:rsidP="00BF2589">
            <w:pPr>
              <w:rPr>
                <w:rFonts w:ascii="Times New Roman" w:hAnsi="Times New Roman" w:cs="Times New Roman"/>
                <w:b/>
              </w:rPr>
            </w:pPr>
          </w:p>
        </w:tc>
        <w:tc>
          <w:tcPr>
            <w:tcW w:w="513" w:type="dxa"/>
          </w:tcPr>
          <w:p w14:paraId="4A56E296" w14:textId="77777777" w:rsidR="000456CA" w:rsidRPr="00510AD0" w:rsidRDefault="000456CA" w:rsidP="00BF2589">
            <w:pPr>
              <w:rPr>
                <w:rFonts w:ascii="Times New Roman" w:hAnsi="Times New Roman" w:cs="Times New Roman"/>
                <w:b/>
              </w:rPr>
            </w:pPr>
          </w:p>
        </w:tc>
        <w:tc>
          <w:tcPr>
            <w:tcW w:w="513" w:type="dxa"/>
          </w:tcPr>
          <w:p w14:paraId="023F6738" w14:textId="77777777" w:rsidR="000456CA" w:rsidRPr="00510AD0" w:rsidRDefault="000456CA" w:rsidP="00BF2589">
            <w:pPr>
              <w:rPr>
                <w:rFonts w:ascii="Times New Roman" w:hAnsi="Times New Roman" w:cs="Times New Roman"/>
                <w:b/>
              </w:rPr>
            </w:pPr>
          </w:p>
        </w:tc>
        <w:tc>
          <w:tcPr>
            <w:tcW w:w="513" w:type="dxa"/>
          </w:tcPr>
          <w:p w14:paraId="556770D6" w14:textId="77777777" w:rsidR="000456CA" w:rsidRPr="00510AD0" w:rsidRDefault="000456CA" w:rsidP="00BF2589">
            <w:pPr>
              <w:rPr>
                <w:rFonts w:ascii="Times New Roman" w:hAnsi="Times New Roman" w:cs="Times New Roman"/>
                <w:b/>
              </w:rPr>
            </w:pPr>
          </w:p>
        </w:tc>
        <w:tc>
          <w:tcPr>
            <w:tcW w:w="513" w:type="dxa"/>
          </w:tcPr>
          <w:p w14:paraId="7C60A300" w14:textId="77777777" w:rsidR="000456CA" w:rsidRPr="00510AD0" w:rsidRDefault="000456CA" w:rsidP="00BF2589">
            <w:pPr>
              <w:rPr>
                <w:rFonts w:ascii="Times New Roman" w:hAnsi="Times New Roman" w:cs="Times New Roman"/>
                <w:b/>
              </w:rPr>
            </w:pPr>
          </w:p>
        </w:tc>
      </w:tr>
    </w:tbl>
    <w:p w14:paraId="76642155" w14:textId="77777777" w:rsidR="0055205C" w:rsidRPr="00510AD0" w:rsidRDefault="0055205C" w:rsidP="00E907E0">
      <w:pPr>
        <w:spacing w:after="240"/>
        <w:rPr>
          <w:b/>
        </w:rPr>
      </w:pPr>
    </w:p>
    <w:p w14:paraId="7A5FAE04" w14:textId="77777777" w:rsidR="000456CA" w:rsidRPr="00510AD0" w:rsidRDefault="000456CA" w:rsidP="00E907E0">
      <w:pPr>
        <w:spacing w:after="240"/>
        <w:rPr>
          <w:b/>
        </w:rPr>
      </w:pPr>
    </w:p>
    <w:p w14:paraId="43A3BE46" w14:textId="77777777" w:rsidR="000456CA" w:rsidRPr="00510AD0" w:rsidRDefault="000456CA" w:rsidP="00E907E0">
      <w:pPr>
        <w:spacing w:after="240"/>
        <w:rPr>
          <w:b/>
        </w:rPr>
        <w:sectPr w:rsidR="000456CA" w:rsidRPr="00510AD0" w:rsidSect="006F002D">
          <w:footerReference w:type="default" r:id="rId63"/>
          <w:footerReference w:type="first" r:id="rId64"/>
          <w:pgSz w:w="15840" w:h="12240" w:orient="landscape"/>
          <w:pgMar w:top="1440" w:right="1440" w:bottom="1440" w:left="1440" w:header="432" w:footer="432" w:gutter="0"/>
          <w:pgNumType w:start="1"/>
          <w:cols w:space="720"/>
          <w:titlePg/>
          <w:docGrid w:linePitch="360"/>
        </w:sectPr>
      </w:pPr>
    </w:p>
    <w:p w14:paraId="012769D5" w14:textId="136ACDCB" w:rsidR="0055205C" w:rsidRPr="00510AD0" w:rsidRDefault="000456CA" w:rsidP="00027CC8">
      <w:pPr>
        <w:pStyle w:val="Appendix"/>
      </w:pPr>
      <w:bookmarkStart w:id="1005" w:name="_Hlk65603395"/>
      <w:bookmarkEnd w:id="1003"/>
      <w:r w:rsidRPr="00510AD0">
        <w:lastRenderedPageBreak/>
        <w:t>[</w:t>
      </w:r>
      <w:r w:rsidR="0055205C" w:rsidRPr="00510AD0">
        <w:t>APPENDIX XVII</w:t>
      </w:r>
      <w:r w:rsidR="0055205C" w:rsidRPr="00510AD0">
        <w:br/>
      </w:r>
      <w:r w:rsidR="0055205C" w:rsidRPr="00510AD0">
        <w:br/>
        <w:t>ENERGY SETTLEMENT ENERGY PRICE &amp; HOURS]</w:t>
      </w:r>
      <w:r w:rsidRPr="00510AD0">
        <w:rPr>
          <w:rStyle w:val="FootnoteReference"/>
        </w:rPr>
        <w:footnoteReference w:id="67"/>
      </w:r>
    </w:p>
    <w:p w14:paraId="6013CCEB" w14:textId="77777777" w:rsidR="0055205C" w:rsidRPr="00510AD0" w:rsidRDefault="0055205C" w:rsidP="00B52660">
      <w:pPr>
        <w:pStyle w:val="BodyTextLeft"/>
      </w:pPr>
      <w:r w:rsidRPr="00510AD0">
        <w:t>For the purposes of calculating the Energy Settlement, the Energy Settlement Energy Price and Energy Settlement Energy Hours shall be as follows.</w:t>
      </w:r>
    </w:p>
    <w:tbl>
      <w:tblPr>
        <w:tblStyle w:val="TableGrid"/>
        <w:tblW w:w="2410" w:type="pct"/>
        <w:tblLook w:val="04A0" w:firstRow="1" w:lastRow="0" w:firstColumn="1" w:lastColumn="0" w:noHBand="0" w:noVBand="1"/>
      </w:tblPr>
      <w:tblGrid>
        <w:gridCol w:w="1589"/>
        <w:gridCol w:w="1460"/>
        <w:gridCol w:w="1458"/>
      </w:tblGrid>
      <w:tr w:rsidR="000456CA" w:rsidRPr="00510AD0" w14:paraId="4392E2DA" w14:textId="77777777" w:rsidTr="00BF2589">
        <w:tc>
          <w:tcPr>
            <w:tcW w:w="1763" w:type="pct"/>
          </w:tcPr>
          <w:bookmarkEnd w:id="1005"/>
          <w:p w14:paraId="51A33460" w14:textId="77777777" w:rsidR="000456CA" w:rsidRPr="00510AD0" w:rsidRDefault="000456CA" w:rsidP="00BF2589">
            <w:pPr>
              <w:pStyle w:val="CapStorageParaa"/>
              <w:keepNext/>
              <w:ind w:firstLine="0"/>
              <w:rPr>
                <w:rFonts w:ascii="Times New Roman" w:hAnsi="Times New Roman" w:cs="Times New Roman"/>
                <w:bCs/>
              </w:rPr>
            </w:pPr>
            <w:r w:rsidRPr="00510AD0">
              <w:rPr>
                <w:rFonts w:ascii="Times New Roman" w:hAnsi="Times New Roman" w:cs="Times New Roman"/>
                <w:bCs/>
              </w:rPr>
              <w:t>Contract Month</w:t>
            </w:r>
          </w:p>
        </w:tc>
        <w:tc>
          <w:tcPr>
            <w:tcW w:w="1620" w:type="pct"/>
          </w:tcPr>
          <w:p w14:paraId="7D1D2788" w14:textId="77777777" w:rsidR="000456CA" w:rsidRPr="00510AD0" w:rsidRDefault="000456CA" w:rsidP="00BF2589">
            <w:pPr>
              <w:pStyle w:val="CapStorageParaa"/>
              <w:keepNext/>
              <w:ind w:firstLine="0"/>
              <w:rPr>
                <w:rFonts w:ascii="Times New Roman" w:hAnsi="Times New Roman" w:cs="Times New Roman"/>
                <w:bCs/>
              </w:rPr>
            </w:pPr>
            <w:r w:rsidRPr="00510AD0">
              <w:rPr>
                <w:rFonts w:ascii="Times New Roman" w:hAnsi="Times New Roman" w:cs="Times New Roman"/>
                <w:bCs/>
              </w:rPr>
              <w:t>Energy Settlement Energy Price:</w:t>
            </w:r>
          </w:p>
        </w:tc>
        <w:tc>
          <w:tcPr>
            <w:tcW w:w="1617" w:type="pct"/>
          </w:tcPr>
          <w:p w14:paraId="628280C5" w14:textId="77777777" w:rsidR="000456CA" w:rsidRPr="00510AD0" w:rsidRDefault="000456CA" w:rsidP="00BF2589">
            <w:pPr>
              <w:pStyle w:val="CapStorageParaa"/>
              <w:keepNext/>
              <w:ind w:firstLine="0"/>
              <w:rPr>
                <w:rFonts w:ascii="Times New Roman" w:hAnsi="Times New Roman" w:cs="Times New Roman"/>
                <w:bCs/>
              </w:rPr>
            </w:pPr>
            <w:r w:rsidRPr="00510AD0">
              <w:rPr>
                <w:rFonts w:ascii="Times New Roman" w:hAnsi="Times New Roman" w:cs="Times New Roman"/>
                <w:bCs/>
              </w:rPr>
              <w:t>Energy Settlement Hours:</w:t>
            </w:r>
          </w:p>
        </w:tc>
      </w:tr>
      <w:tr w:rsidR="000456CA" w:rsidRPr="00510AD0" w14:paraId="75091D72" w14:textId="77777777" w:rsidTr="00BF2589">
        <w:tc>
          <w:tcPr>
            <w:tcW w:w="1763" w:type="pct"/>
          </w:tcPr>
          <w:p w14:paraId="7515A480" w14:textId="77777777" w:rsidR="000456CA" w:rsidRPr="00510AD0" w:rsidRDefault="000456CA" w:rsidP="00BF2589">
            <w:pPr>
              <w:pStyle w:val="CapStorageParaa"/>
              <w:ind w:firstLine="0"/>
              <w:rPr>
                <w:rFonts w:ascii="Times New Roman" w:hAnsi="Times New Roman" w:cs="Times New Roman"/>
                <w:bCs/>
              </w:rPr>
            </w:pPr>
            <w:r w:rsidRPr="00510AD0">
              <w:rPr>
                <w:rFonts w:ascii="Times New Roman" w:hAnsi="Times New Roman" w:cs="Times New Roman"/>
                <w:b/>
                <w:i/>
                <w:iCs/>
              </w:rPr>
              <w:t>[Insert Month and Year]</w:t>
            </w:r>
            <w:r w:rsidRPr="00510AD0">
              <w:rPr>
                <w:rStyle w:val="FootnoteReference"/>
                <w:rFonts w:ascii="Times New Roman" w:hAnsi="Times New Roman" w:cs="Times New Roman"/>
                <w:bCs/>
              </w:rPr>
              <w:t xml:space="preserve"> </w:t>
            </w:r>
            <w:r w:rsidRPr="00510AD0">
              <w:rPr>
                <w:rStyle w:val="FootnoteReference"/>
                <w:rFonts w:ascii="Times New Roman" w:hAnsi="Times New Roman" w:cs="Times New Roman"/>
                <w:bCs/>
              </w:rPr>
              <w:footnoteReference w:id="68"/>
            </w:r>
          </w:p>
        </w:tc>
        <w:tc>
          <w:tcPr>
            <w:tcW w:w="1620" w:type="pct"/>
          </w:tcPr>
          <w:p w14:paraId="5A54C480" w14:textId="77777777" w:rsidR="000456CA" w:rsidRPr="00510AD0" w:rsidRDefault="000456CA" w:rsidP="00BF2589">
            <w:pPr>
              <w:pStyle w:val="CapStorageParaa"/>
              <w:ind w:firstLine="0"/>
              <w:rPr>
                <w:rFonts w:ascii="Times New Roman" w:hAnsi="Times New Roman" w:cs="Times New Roman"/>
                <w:bCs/>
              </w:rPr>
            </w:pPr>
            <w:r w:rsidRPr="00510AD0">
              <w:rPr>
                <w:rFonts w:ascii="Times New Roman" w:hAnsi="Times New Roman" w:cs="Times New Roman"/>
                <w:bCs/>
                <w:highlight w:val="yellow"/>
              </w:rPr>
              <w:t>___</w:t>
            </w:r>
            <w:r w:rsidRPr="00510AD0">
              <w:rPr>
                <w:rFonts w:ascii="Times New Roman" w:hAnsi="Times New Roman" w:cs="Times New Roman"/>
                <w:bCs/>
              </w:rPr>
              <w:t xml:space="preserve"> $/MWh</w:t>
            </w:r>
          </w:p>
        </w:tc>
        <w:tc>
          <w:tcPr>
            <w:tcW w:w="1617" w:type="pct"/>
          </w:tcPr>
          <w:p w14:paraId="0103420A" w14:textId="77777777" w:rsidR="000456CA" w:rsidRPr="00510AD0" w:rsidRDefault="000456CA" w:rsidP="00BF2589">
            <w:pPr>
              <w:pStyle w:val="CapStorageParaa"/>
              <w:ind w:firstLine="0"/>
              <w:rPr>
                <w:rFonts w:ascii="Times New Roman" w:hAnsi="Times New Roman" w:cs="Times New Roman"/>
                <w:bCs/>
              </w:rPr>
            </w:pPr>
            <w:r w:rsidRPr="00510AD0">
              <w:rPr>
                <w:rFonts w:ascii="Times New Roman" w:hAnsi="Times New Roman" w:cs="Times New Roman"/>
                <w:bCs/>
                <w:highlight w:val="yellow"/>
              </w:rPr>
              <w:t>___</w:t>
            </w:r>
            <w:r w:rsidRPr="00510AD0">
              <w:rPr>
                <w:rFonts w:ascii="Times New Roman" w:hAnsi="Times New Roman" w:cs="Times New Roman"/>
                <w:bCs/>
              </w:rPr>
              <w:t xml:space="preserve"> hours</w:t>
            </w:r>
          </w:p>
        </w:tc>
      </w:tr>
    </w:tbl>
    <w:p w14:paraId="4ADCF57D" w14:textId="77777777" w:rsidR="0055205C" w:rsidRPr="00510AD0" w:rsidRDefault="0055205C" w:rsidP="00E907E0">
      <w:pPr>
        <w:spacing w:after="240"/>
      </w:pPr>
    </w:p>
    <w:p w14:paraId="19C28FCF" w14:textId="77777777" w:rsidR="0055205C" w:rsidRPr="00510AD0" w:rsidRDefault="0055205C" w:rsidP="00E907E0">
      <w:pPr>
        <w:spacing w:after="240"/>
        <w:sectPr w:rsidR="0055205C" w:rsidRPr="00510AD0" w:rsidSect="000936E4">
          <w:footerReference w:type="first" r:id="rId65"/>
          <w:pgSz w:w="12240" w:h="15840"/>
          <w:pgMar w:top="1440" w:right="1440" w:bottom="1440" w:left="1440" w:header="432" w:footer="432" w:gutter="0"/>
          <w:pgNumType w:start="1"/>
          <w:cols w:space="720"/>
          <w:titlePg/>
          <w:docGrid w:linePitch="360"/>
        </w:sectPr>
      </w:pPr>
    </w:p>
    <w:p w14:paraId="5813B20B" w14:textId="77777777" w:rsidR="0055205C" w:rsidRPr="00510AD0" w:rsidRDefault="0055205C" w:rsidP="00027CC8">
      <w:pPr>
        <w:pStyle w:val="Appendix"/>
      </w:pPr>
      <w:r w:rsidRPr="00510AD0">
        <w:lastRenderedPageBreak/>
        <w:t>APPENDIX XVIII</w:t>
      </w:r>
      <w:r w:rsidRPr="00510AD0">
        <w:br/>
      </w:r>
      <w:r w:rsidRPr="00510AD0">
        <w:br/>
        <w:t>[ENERGY SETTLEMENT DEFINED TERMS]</w:t>
      </w:r>
    </w:p>
    <w:p w14:paraId="06A23288" w14:textId="77777777" w:rsidR="0055205C" w:rsidRPr="00510AD0" w:rsidRDefault="0055205C" w:rsidP="00A70840">
      <w:pPr>
        <w:pStyle w:val="BodyTextLeft"/>
      </w:pPr>
      <w:bookmarkStart w:id="1006" w:name="_Hlk65602431"/>
      <w:r w:rsidRPr="00510AD0">
        <w:t xml:space="preserve">“Alternate Gas Index” has the meaning set forth in </w:t>
      </w:r>
      <w:r w:rsidRPr="00510AD0">
        <w:rPr>
          <w:u w:val="single"/>
        </w:rPr>
        <w:t>Appendix II</w:t>
      </w:r>
      <w:r w:rsidRPr="00510AD0">
        <w:t xml:space="preserve"> Part </w:t>
      </w:r>
      <w:bookmarkStart w:id="1007" w:name="DocXTextRef483"/>
      <w:r w:rsidRPr="00510AD0">
        <w:t>D</w:t>
      </w:r>
      <w:bookmarkEnd w:id="1006"/>
      <w:bookmarkEnd w:id="1007"/>
      <w:r w:rsidRPr="00510AD0">
        <w:t>.</w:t>
      </w:r>
    </w:p>
    <w:p w14:paraId="1779396A" w14:textId="77777777" w:rsidR="0055205C" w:rsidRPr="00510AD0" w:rsidRDefault="0055205C" w:rsidP="00A70840">
      <w:pPr>
        <w:pStyle w:val="BodyTextLeft"/>
      </w:pPr>
      <w:bookmarkStart w:id="1008" w:name="_Hlk65602740"/>
      <w:r w:rsidRPr="00510AD0">
        <w:t xml:space="preserve">“Contract Heat Rate” means the value specified in </w:t>
      </w:r>
      <w:r w:rsidRPr="00510AD0">
        <w:rPr>
          <w:u w:val="single"/>
        </w:rPr>
        <w:t>Appendix II</w:t>
      </w:r>
      <w:r w:rsidRPr="00510AD0">
        <w:t xml:space="preserve"> in MMBtu per megawatt hour.</w:t>
      </w:r>
      <w:bookmarkEnd w:id="1008"/>
    </w:p>
    <w:p w14:paraId="209C5F37" w14:textId="66BF8965" w:rsidR="0055205C" w:rsidRPr="00510AD0" w:rsidRDefault="0055205C" w:rsidP="00A70840">
      <w:pPr>
        <w:pStyle w:val="BodyTextLeft"/>
      </w:pPr>
      <w:bookmarkStart w:id="1009" w:name="_Hlk65602501"/>
      <w:r w:rsidRPr="00510AD0">
        <w:t xml:space="preserve">“Daily Dispatch Price” has the meaning set forth in </w:t>
      </w:r>
      <w:r w:rsidRPr="00510AD0">
        <w:rPr>
          <w:u w:val="single"/>
        </w:rPr>
        <w:t>Appendix XV</w:t>
      </w:r>
      <w:r w:rsidRPr="00510AD0">
        <w:t>.</w:t>
      </w:r>
      <w:bookmarkEnd w:id="1009"/>
    </w:p>
    <w:p w14:paraId="29FD944D" w14:textId="7A125E73" w:rsidR="0055205C" w:rsidRPr="00510AD0" w:rsidRDefault="0055205C" w:rsidP="00A70840">
      <w:pPr>
        <w:pStyle w:val="BodyTextLeft"/>
      </w:pPr>
      <w:r w:rsidRPr="00510AD0">
        <w:t xml:space="preserve">“Energy Settlement” means the amount calculated pursuant to Section </w:t>
      </w:r>
      <w:r w:rsidR="00286173" w:rsidRPr="00510AD0">
        <w:fldChar w:fldCharType="begin"/>
      </w:r>
      <w:r w:rsidR="00286173" w:rsidRPr="00510AD0">
        <w:instrText xml:space="preserve">  REF _Ref69141605 \w \h \* MERGEFORMAT </w:instrText>
      </w:r>
      <w:r w:rsidR="00286173" w:rsidRPr="00510AD0">
        <w:fldChar w:fldCharType="separate"/>
      </w:r>
      <w:r w:rsidR="007751F5" w:rsidRPr="00510AD0">
        <w:rPr>
          <w:color w:val="000000"/>
        </w:rPr>
        <w:t>6.2</w:t>
      </w:r>
      <w:r w:rsidR="00286173" w:rsidRPr="00510AD0">
        <w:fldChar w:fldCharType="end"/>
      </w:r>
      <w:r w:rsidRPr="00510AD0">
        <w:t>.</w:t>
      </w:r>
    </w:p>
    <w:p w14:paraId="002F2737" w14:textId="77777777" w:rsidR="0055205C" w:rsidRPr="00510AD0" w:rsidRDefault="0055205C" w:rsidP="00A70840">
      <w:pPr>
        <w:pStyle w:val="BodyTextLeft"/>
      </w:pPr>
      <w:bookmarkStart w:id="1010" w:name="_Hlk65602527"/>
      <w:r w:rsidRPr="00510AD0">
        <w:t xml:space="preserve">“Energy Settlement Energy Price” means the Energy Settlement Energy Price specified in </w:t>
      </w:r>
      <w:r w:rsidRPr="00510AD0">
        <w:rPr>
          <w:u w:val="single"/>
        </w:rPr>
        <w:t>Appendix XVII</w:t>
      </w:r>
      <w:r w:rsidRPr="00510AD0">
        <w:t>.</w:t>
      </w:r>
    </w:p>
    <w:p w14:paraId="2C002945" w14:textId="77777777" w:rsidR="0055205C" w:rsidRPr="00510AD0" w:rsidRDefault="0055205C" w:rsidP="00A70840">
      <w:pPr>
        <w:pStyle w:val="BodyTextLeft"/>
      </w:pPr>
      <w:r w:rsidRPr="00510AD0">
        <w:t xml:space="preserve">“Energy Settlement Hours” means the Energy Settlement Hours specified in </w:t>
      </w:r>
      <w:r w:rsidRPr="00510AD0">
        <w:rPr>
          <w:u w:val="single"/>
        </w:rPr>
        <w:t>Appendix XVII</w:t>
      </w:r>
      <w:r w:rsidRPr="00510AD0">
        <w:t>.</w:t>
      </w:r>
    </w:p>
    <w:bookmarkEnd w:id="1010"/>
    <w:p w14:paraId="2C775B4E" w14:textId="3FFB9A10" w:rsidR="003B6AB3" w:rsidRPr="00510AD0" w:rsidRDefault="0055205C" w:rsidP="00A70840">
      <w:pPr>
        <w:pStyle w:val="BodyTextLeft"/>
      </w:pPr>
      <w:r w:rsidRPr="00510AD0">
        <w:t xml:space="preserve">“Energy Settlement Payment Quantity” </w:t>
      </w:r>
      <w:bookmarkStart w:id="1011" w:name="_Hlk64993099"/>
      <w:r w:rsidRPr="00510AD0">
        <w:t xml:space="preserve">means the Energy Settlement Payment Quantity specified on </w:t>
      </w:r>
      <w:r w:rsidRPr="00510AD0">
        <w:rPr>
          <w:u w:val="single"/>
        </w:rPr>
        <w:t>Appendix II</w:t>
      </w:r>
      <w:bookmarkEnd w:id="1011"/>
      <w:r w:rsidRPr="00510AD0">
        <w:t>.</w:t>
      </w:r>
    </w:p>
    <w:p w14:paraId="24410F6E" w14:textId="77777777" w:rsidR="0055205C" w:rsidRPr="00510AD0" w:rsidRDefault="0055205C" w:rsidP="00A70840">
      <w:pPr>
        <w:pStyle w:val="BodyTextLeft"/>
      </w:pPr>
      <w:r w:rsidRPr="00510AD0">
        <w:t xml:space="preserve">“Gas” means natural gas, which will be any mixture of hydrocarbons or of hydrocarbons and non-combustible gases in a gaseous state consisting primarily of methane. </w:t>
      </w:r>
    </w:p>
    <w:p w14:paraId="6EF9ABBA" w14:textId="77777777" w:rsidR="0055205C" w:rsidRPr="00510AD0" w:rsidRDefault="0055205C" w:rsidP="00A70840">
      <w:pPr>
        <w:pStyle w:val="BodyTextLeft"/>
      </w:pPr>
      <w:r w:rsidRPr="00510AD0">
        <w:t xml:space="preserve">“Gas Index” means the gas index location specified in </w:t>
      </w:r>
      <w:r w:rsidRPr="00510AD0">
        <w:rPr>
          <w:u w:val="single"/>
        </w:rPr>
        <w:t>Appendix II</w:t>
      </w:r>
      <w:r w:rsidRPr="00510AD0">
        <w:t xml:space="preserve"> Part </w:t>
      </w:r>
      <w:bookmarkStart w:id="1012" w:name="DocXTextRef485"/>
      <w:r w:rsidRPr="00510AD0">
        <w:t>D</w:t>
      </w:r>
      <w:bookmarkEnd w:id="1012"/>
      <w:r w:rsidRPr="00510AD0">
        <w:t>.</w:t>
      </w:r>
    </w:p>
    <w:p w14:paraId="7B3DE452" w14:textId="77777777" w:rsidR="0055205C" w:rsidRPr="00510AD0" w:rsidRDefault="0055205C" w:rsidP="00A70840">
      <w:pPr>
        <w:pStyle w:val="BodyTextLeft"/>
      </w:pPr>
      <w:r w:rsidRPr="00510AD0">
        <w:t xml:space="preserve">“Gas Index Price” means the daily index cost of Gas as published by Platt’s Gas Daily (in the Internet publication currently accessed through www.platts.com), or its successor, in the table entitled “Daily price survey” under the heading “Midpoint” for the applicable date of delivery for the Gas Index or in the event of an Index Disruption Event, the Alternate Gas Index. </w:t>
      </w:r>
    </w:p>
    <w:p w14:paraId="106D1168" w14:textId="77777777" w:rsidR="0055205C" w:rsidRPr="00510AD0" w:rsidRDefault="0055205C" w:rsidP="00A70840">
      <w:pPr>
        <w:pStyle w:val="BodyTextLeft"/>
      </w:pPr>
      <w:r w:rsidRPr="00510AD0">
        <w:t xml:space="preserve">“Gas Transport Charges” means the natural gas tariff schedule corresponding to the components listed in </w:t>
      </w:r>
      <w:r w:rsidRPr="00510AD0">
        <w:rPr>
          <w:u w:val="single"/>
        </w:rPr>
        <w:t>Appendix II</w:t>
      </w:r>
      <w:r w:rsidRPr="00510AD0">
        <w:t xml:space="preserve"> (or any additional, replacement or successor components mutually agreed to in writing by the Parties), in dollars per MMBtu, from the applicable Local Distribution Company for the Project.</w:t>
      </w:r>
    </w:p>
    <w:p w14:paraId="434180BF" w14:textId="77777777" w:rsidR="0055205C" w:rsidRPr="00510AD0" w:rsidRDefault="0055205C" w:rsidP="00A70840">
      <w:pPr>
        <w:pStyle w:val="BodyTextLeft"/>
      </w:pPr>
      <w:r w:rsidRPr="00510AD0">
        <w:t xml:space="preserve">“GHG Conversion Rate” means </w:t>
      </w:r>
      <w:bookmarkStart w:id="1013" w:name="DocXTextRef486"/>
      <w:r w:rsidRPr="00510AD0">
        <w:t>0.053</w:t>
      </w:r>
      <w:bookmarkEnd w:id="1013"/>
      <w:r w:rsidRPr="00510AD0">
        <w:t>02 metric tons per MMBtu.</w:t>
      </w:r>
    </w:p>
    <w:p w14:paraId="42F5018B" w14:textId="77777777" w:rsidR="0055205C" w:rsidRPr="00510AD0" w:rsidRDefault="0055205C" w:rsidP="00A70840">
      <w:pPr>
        <w:pStyle w:val="BodyTextLeft"/>
      </w:pPr>
      <w:r w:rsidRPr="00510AD0">
        <w:t>“GHG Price” means the Greenhouse Gas Allowance Price.</w:t>
      </w:r>
    </w:p>
    <w:p w14:paraId="4C490963" w14:textId="77777777" w:rsidR="0055205C" w:rsidRPr="00510AD0" w:rsidRDefault="0055205C" w:rsidP="00A70840">
      <w:pPr>
        <w:pStyle w:val="BodyTextLeft"/>
      </w:pPr>
      <w:r w:rsidRPr="00510AD0">
        <w:t>“Greenhouse Gas Allowance Price” has the meaning set forth in the Tariff.</w:t>
      </w:r>
    </w:p>
    <w:p w14:paraId="28F9F747" w14:textId="77777777" w:rsidR="0055205C" w:rsidRPr="00510AD0" w:rsidRDefault="0055205C" w:rsidP="00A70840">
      <w:pPr>
        <w:pStyle w:val="BodyTextLeft"/>
      </w:pPr>
      <w:bookmarkStart w:id="1014" w:name="_Hlk65602820"/>
      <w:r w:rsidRPr="00510AD0">
        <w:t xml:space="preserve">“Index Disruption Event” means an event when any of the following occurs along with Notice by one Party to the other Party: </w:t>
      </w:r>
      <w:bookmarkStart w:id="1015" w:name="DocXTextRef487"/>
      <w:r w:rsidRPr="00510AD0">
        <w:t>(a)</w:t>
      </w:r>
      <w:bookmarkEnd w:id="1015"/>
      <w:r w:rsidRPr="00510AD0">
        <w:t xml:space="preserve">  the Gas Index Price for the applicable day is unavailable for the Trading Day (exclusive of days which are not customarily reported), </w:t>
      </w:r>
      <w:bookmarkStart w:id="1016" w:name="DocXTextRef488"/>
      <w:r w:rsidRPr="00510AD0">
        <w:t>(b)</w:t>
      </w:r>
      <w:bookmarkEnd w:id="1016"/>
      <w:r w:rsidRPr="00510AD0">
        <w:t xml:space="preserve"> a material change in the content, composition or constitution of the Gas traded at the location identified for the Gas Index, or </w:t>
      </w:r>
      <w:bookmarkStart w:id="1017" w:name="DocXTextRef489"/>
      <w:r w:rsidRPr="00510AD0">
        <w:t>(c)</w:t>
      </w:r>
      <w:bookmarkEnd w:id="1017"/>
      <w:r w:rsidRPr="00510AD0">
        <w:t xml:space="preserve"> a substantial reduction in the volume of reported trades at the Gas Index, whether temporary or permanent, such that the reported price cannot reasonably be deemed a reliable indicator of the market price of Gas at that location for the applicable day.  In the event of an </w:t>
      </w:r>
      <w:r w:rsidRPr="00510AD0">
        <w:lastRenderedPageBreak/>
        <w:t>Index Disruption Event lasting no more than two consecutive weeks, the Parties shall use the Alternate Gas Index.  In the event of an Index Disruption Event lasting more than two consecutive weeks, the Parties’ Authorized Representatives shall agree upon an index price or methodology based on a reported index price that most closely approximates the pricing that would be reasonably expected if the Index Disruption Event had not occurred.</w:t>
      </w:r>
      <w:bookmarkEnd w:id="1014"/>
    </w:p>
    <w:p w14:paraId="1890303E" w14:textId="77777777" w:rsidR="0055205C" w:rsidRPr="00510AD0" w:rsidRDefault="0055205C" w:rsidP="00B52660">
      <w:pPr>
        <w:pStyle w:val="BodyTextLeft"/>
      </w:pPr>
      <w:r w:rsidRPr="00510AD0">
        <w:t>“Local Distribution Company” means the distributor of Gas for consumption at the Project.</w:t>
      </w:r>
    </w:p>
    <w:p w14:paraId="41F7D6BF" w14:textId="77777777" w:rsidR="00CD073D" w:rsidRPr="00510AD0" w:rsidRDefault="00CD073D">
      <w:pPr>
        <w:rPr>
          <w:b/>
          <w:bCs/>
          <w:lang w:val="en-CA"/>
        </w:rPr>
      </w:pPr>
      <w:r w:rsidRPr="00510AD0">
        <w:br w:type="page"/>
      </w:r>
    </w:p>
    <w:p w14:paraId="629ADB0E" w14:textId="77777777" w:rsidR="0014036A" w:rsidRDefault="0014036A" w:rsidP="00027CC8">
      <w:pPr>
        <w:pStyle w:val="Appendix"/>
        <w:sectPr w:rsidR="0014036A" w:rsidSect="0077573F">
          <w:footerReference w:type="default" r:id="rId66"/>
          <w:footerReference w:type="first" r:id="rId67"/>
          <w:pgSz w:w="12240" w:h="15840"/>
          <w:pgMar w:top="1440" w:right="1440" w:bottom="1440" w:left="1440" w:header="432" w:footer="432" w:gutter="0"/>
          <w:pgNumType w:start="1"/>
          <w:cols w:space="720"/>
          <w:docGrid w:linePitch="360"/>
        </w:sectPr>
      </w:pPr>
    </w:p>
    <w:p w14:paraId="44F04A51" w14:textId="3B658DA5" w:rsidR="0055205C" w:rsidRPr="00510AD0" w:rsidRDefault="0055205C" w:rsidP="00027CC8">
      <w:pPr>
        <w:pStyle w:val="Appendix"/>
      </w:pPr>
      <w:r w:rsidRPr="00510AD0">
        <w:lastRenderedPageBreak/>
        <w:t>[APPENDIX XIX</w:t>
      </w:r>
      <w:r w:rsidRPr="00510AD0">
        <w:br/>
      </w:r>
      <w:r w:rsidRPr="00510AD0">
        <w:br/>
        <w:t>BEHIND THE METER DEFINED TERMS]</w:t>
      </w:r>
      <w:bookmarkStart w:id="1018" w:name="_Ref69141910"/>
      <w:r w:rsidRPr="00510AD0">
        <w:rPr>
          <w:rStyle w:val="FootnoteReference"/>
        </w:rPr>
        <w:footnoteReference w:id="69"/>
      </w:r>
      <w:bookmarkEnd w:id="1018"/>
    </w:p>
    <w:p w14:paraId="515FD021" w14:textId="77777777" w:rsidR="0055205C" w:rsidRPr="00510AD0" w:rsidRDefault="0055205C" w:rsidP="00A70840">
      <w:pPr>
        <w:pStyle w:val="BodyTextLeft"/>
      </w:pPr>
      <w:r w:rsidRPr="00510AD0">
        <w:t xml:space="preserve">“Customer” means a non-residential, bundled or unbundled, Person that is </w:t>
      </w:r>
      <w:bookmarkStart w:id="1019" w:name="DocXTextRef490"/>
      <w:r w:rsidRPr="00510AD0">
        <w:t>(i)</w:t>
      </w:r>
      <w:bookmarkEnd w:id="1019"/>
      <w:r w:rsidRPr="00510AD0">
        <w:t xml:space="preserve"> electrically interconnected to one of the substations or feeders associated with one of the substations listed in </w:t>
      </w:r>
      <w:r w:rsidRPr="00510AD0">
        <w:rPr>
          <w:u w:val="single"/>
        </w:rPr>
        <w:t>Appendix XXI</w:t>
      </w:r>
      <w:r w:rsidRPr="00510AD0">
        <w:t>, and (ii) has an effective Service Agreement (as defined below) with Buyer.</w:t>
      </w:r>
    </w:p>
    <w:p w14:paraId="63C05F7F" w14:textId="77777777" w:rsidR="0055205C" w:rsidRPr="00510AD0" w:rsidRDefault="0055205C" w:rsidP="00A70840">
      <w:pPr>
        <w:pStyle w:val="BodyTextLeft"/>
      </w:pPr>
      <w:r w:rsidRPr="00510AD0">
        <w:t>“Non-Exporting” means a Unit design such that the output from the Unit(s) is used for Customer load only and is prevented from transferring Energy from the Unit(s) to the Utility Distribution Company’s grid or the CAISO Grid.</w:t>
      </w:r>
    </w:p>
    <w:p w14:paraId="661C7F59" w14:textId="77777777" w:rsidR="0055205C" w:rsidRPr="00510AD0" w:rsidRDefault="0055205C" w:rsidP="00A70840">
      <w:pPr>
        <w:pStyle w:val="BodyTextLeft"/>
      </w:pPr>
      <w:r w:rsidRPr="00510AD0">
        <w:t>“Self-Generation Incentive Program” or “SGIP” means the program approved by the CPUC and administered by Buyer, Southern California Edison, Southern California Gas Company and the Center for Sustainable Energy (on behalf of San Diego Gas &amp; Electric) that provides financial incentives for the installation of new qualifying technologies.</w:t>
      </w:r>
    </w:p>
    <w:p w14:paraId="6E4E6EF8" w14:textId="115EC86E" w:rsidR="0055205C" w:rsidRPr="00510AD0" w:rsidRDefault="00AC23B3" w:rsidP="00A70840">
      <w:pPr>
        <w:pStyle w:val="BodyTextLeft"/>
      </w:pPr>
      <w:r w:rsidRPr="00510AD0">
        <w:t>[</w:t>
      </w:r>
      <w:r w:rsidR="0055205C" w:rsidRPr="00510AD0">
        <w:t xml:space="preserve">“Seller’s Initial Portfolio List” has the meaning set forth in </w:t>
      </w:r>
      <w:r w:rsidR="0055205C" w:rsidRPr="00510AD0">
        <w:rPr>
          <w:u w:val="single"/>
        </w:rPr>
        <w:t>Appendix XIV</w:t>
      </w:r>
      <w:r w:rsidR="0055205C" w:rsidRPr="00510AD0">
        <w:t>.</w:t>
      </w:r>
      <w:r w:rsidRPr="00510AD0">
        <w:t>]</w:t>
      </w:r>
      <w:r w:rsidR="002A0256" w:rsidRPr="00510AD0">
        <w:rPr>
          <w:rStyle w:val="FootnoteReference"/>
        </w:rPr>
        <w:footnoteReference w:id="70"/>
      </w:r>
    </w:p>
    <w:p w14:paraId="520400AD" w14:textId="77777777" w:rsidR="0055205C" w:rsidRPr="00510AD0" w:rsidRDefault="0055205C" w:rsidP="00A70840">
      <w:pPr>
        <w:pStyle w:val="BodyTextLeft"/>
      </w:pPr>
      <w:r w:rsidRPr="00510AD0">
        <w:t xml:space="preserve">“Seller’s Portfolio” means the Customers and the corresponding Sites assembled by Seller for purposes of delivering the Product to Buyer under this Agreement, as such Seller’s Portfolio may be amended in accordance with this Agreement from time to time. </w:t>
      </w:r>
    </w:p>
    <w:p w14:paraId="7E9ACBEE" w14:textId="5042D7FA" w:rsidR="0055205C" w:rsidRPr="00510AD0" w:rsidRDefault="00AC23B3" w:rsidP="00A70840">
      <w:pPr>
        <w:pStyle w:val="BodyTextLeft"/>
      </w:pPr>
      <w:r w:rsidRPr="00510AD0">
        <w:t>[</w:t>
      </w:r>
      <w:r w:rsidR="0055205C" w:rsidRPr="00510AD0">
        <w:t xml:space="preserve">“Seller’s Portfolio List” has the meaning set forth in </w:t>
      </w:r>
      <w:r w:rsidR="0055205C" w:rsidRPr="00510AD0">
        <w:rPr>
          <w:u w:val="single"/>
        </w:rPr>
        <w:t>Appendix XIV</w:t>
      </w:r>
      <w:r w:rsidR="0055205C" w:rsidRPr="00510AD0">
        <w:t>.</w:t>
      </w:r>
      <w:r w:rsidRPr="00510AD0">
        <w:t>]</w:t>
      </w:r>
      <w:r w:rsidR="002A0256" w:rsidRPr="00510AD0">
        <w:rPr>
          <w:rStyle w:val="FootnoteReference"/>
        </w:rPr>
        <w:footnoteReference w:id="71"/>
      </w:r>
    </w:p>
    <w:p w14:paraId="138E568F" w14:textId="77777777" w:rsidR="0055205C" w:rsidRPr="00510AD0" w:rsidRDefault="0055205C" w:rsidP="00A70840">
      <w:pPr>
        <w:pStyle w:val="BodyTextLeft"/>
      </w:pPr>
      <w:bookmarkStart w:id="1020" w:name="_DV_C1721"/>
      <w:r w:rsidRPr="00510AD0">
        <w:t xml:space="preserve">“Service Agreement” </w:t>
      </w:r>
      <w:bookmarkStart w:id="1021" w:name="_Toc325640808"/>
      <w:r w:rsidRPr="00510AD0">
        <w:t xml:space="preserve">means an agreement, denoted by a unique service identification number, between Buyer, in its function as Utility Distribution Company, and a Person for tracking energy service deliveries for a specific load through one or more meters at a Customer premise or location. </w:t>
      </w:r>
      <w:bookmarkEnd w:id="1020"/>
      <w:bookmarkEnd w:id="1021"/>
    </w:p>
    <w:p w14:paraId="569B7168" w14:textId="4F0F5CDD" w:rsidR="0055205C" w:rsidRPr="00510AD0" w:rsidRDefault="0055205C" w:rsidP="00B52660">
      <w:pPr>
        <w:pStyle w:val="BodyTextLeft"/>
      </w:pPr>
      <w:r w:rsidRPr="00510AD0">
        <w:t>“Unit” (or “Units,” if more than one), means the Non-Exporting, behind-the-retail-meter</w:t>
      </w:r>
      <w:r w:rsidRPr="00510AD0">
        <w:rPr>
          <w:b/>
          <w:bCs/>
          <w:i/>
          <w:iCs/>
        </w:rPr>
        <w:t xml:space="preserve"> </w:t>
      </w:r>
      <w:r w:rsidRPr="00510AD0">
        <w:t>facilities installed at the Sites as more particularly described in Appendices II and III, including all appurtenant facilities, communications and control systems, and equipment, from which Seller has agreed to provide the Product to Buyer pursuant to this Agreement.</w:t>
      </w:r>
    </w:p>
    <w:p w14:paraId="245A8B3C" w14:textId="77777777" w:rsidR="0055205C" w:rsidRPr="00510AD0" w:rsidRDefault="0055205C" w:rsidP="00B52660">
      <w:pPr>
        <w:pStyle w:val="BodyTextLeft"/>
        <w:sectPr w:rsidR="0055205C" w:rsidRPr="00510AD0" w:rsidSect="0077573F">
          <w:footerReference w:type="default" r:id="rId68"/>
          <w:pgSz w:w="12240" w:h="15840"/>
          <w:pgMar w:top="1440" w:right="1440" w:bottom="1440" w:left="1440" w:header="432" w:footer="432" w:gutter="0"/>
          <w:pgNumType w:start="1"/>
          <w:cols w:space="720"/>
          <w:docGrid w:linePitch="360"/>
        </w:sectPr>
      </w:pPr>
    </w:p>
    <w:p w14:paraId="409C3837" w14:textId="77777777" w:rsidR="0055205C" w:rsidRPr="00510AD0" w:rsidRDefault="0055205C" w:rsidP="00027CC8">
      <w:pPr>
        <w:pStyle w:val="Appendix"/>
      </w:pPr>
      <w:r w:rsidRPr="00510AD0">
        <w:lastRenderedPageBreak/>
        <w:t>[APPENDIX XX</w:t>
      </w:r>
      <w:r w:rsidRPr="00510AD0">
        <w:br/>
      </w:r>
      <w:r w:rsidRPr="00510AD0">
        <w:br/>
        <w:t>SELLER’S PORTFOLIO LIST]</w:t>
      </w:r>
      <w:bookmarkStart w:id="1022" w:name="_Ref69141911"/>
      <w:r w:rsidRPr="00510AD0">
        <w:rPr>
          <w:rStyle w:val="FootnoteReference"/>
        </w:rPr>
        <w:footnoteReference w:id="72"/>
      </w:r>
      <w:bookmarkEnd w:id="1022"/>
    </w:p>
    <w:p w14:paraId="44257165" w14:textId="77777777" w:rsidR="0055205C" w:rsidRPr="00510AD0" w:rsidRDefault="0055205C" w:rsidP="00A70840">
      <w:pPr>
        <w:pStyle w:val="Center"/>
      </w:pPr>
      <w:r w:rsidRPr="00510AD0">
        <w:t xml:space="preserve">As of </w:t>
      </w:r>
      <w:r w:rsidRPr="00510AD0">
        <w:rPr>
          <w:b/>
          <w:i/>
          <w:color w:val="0000FF"/>
          <w:u w:val="single"/>
        </w:rPr>
        <w:t>[insert relevant date for each submittal]</w:t>
      </w:r>
    </w:p>
    <w:tbl>
      <w:tblPr>
        <w:tblW w:w="5000" w:type="pct"/>
        <w:jc w:val="center"/>
        <w:tblLook w:val="04A0" w:firstRow="1" w:lastRow="0" w:firstColumn="1" w:lastColumn="0" w:noHBand="0" w:noVBand="1"/>
      </w:tblPr>
      <w:tblGrid>
        <w:gridCol w:w="916"/>
        <w:gridCol w:w="1747"/>
        <w:gridCol w:w="2247"/>
        <w:gridCol w:w="1244"/>
        <w:gridCol w:w="1495"/>
        <w:gridCol w:w="1327"/>
        <w:gridCol w:w="1661"/>
        <w:gridCol w:w="995"/>
        <w:gridCol w:w="1328"/>
      </w:tblGrid>
      <w:tr w:rsidR="0055205C" w:rsidRPr="00510AD0" w14:paraId="2FC8FC51" w14:textId="77777777" w:rsidTr="00A70840">
        <w:trPr>
          <w:jc w:val="center"/>
        </w:trPr>
        <w:tc>
          <w:tcPr>
            <w:tcW w:w="329" w:type="pct"/>
            <w:shd w:val="clear" w:color="auto" w:fill="F2F2F2" w:themeFill="background1" w:themeFillShade="F2"/>
            <w:vAlign w:val="center"/>
          </w:tcPr>
          <w:p w14:paraId="6B7BFA3E" w14:textId="77777777" w:rsidR="0055205C" w:rsidRPr="00510AD0" w:rsidRDefault="0055205C" w:rsidP="00A70840">
            <w:pPr>
              <w:spacing w:before="60"/>
              <w:jc w:val="center"/>
              <w:rPr>
                <w:sz w:val="18"/>
                <w:szCs w:val="18"/>
              </w:rPr>
            </w:pPr>
            <w:r w:rsidRPr="00510AD0">
              <w:rPr>
                <w:sz w:val="18"/>
                <w:szCs w:val="18"/>
              </w:rPr>
              <w:t>Customer Service Account Number</w:t>
            </w:r>
          </w:p>
        </w:tc>
        <w:tc>
          <w:tcPr>
            <w:tcW w:w="677" w:type="pct"/>
            <w:shd w:val="clear" w:color="auto" w:fill="F2F2F2" w:themeFill="background1" w:themeFillShade="F2"/>
            <w:vAlign w:val="center"/>
          </w:tcPr>
          <w:p w14:paraId="0E3C1277" w14:textId="77777777" w:rsidR="0055205C" w:rsidRPr="00510AD0" w:rsidRDefault="0055205C" w:rsidP="00A70840">
            <w:pPr>
              <w:spacing w:before="60"/>
              <w:jc w:val="center"/>
              <w:rPr>
                <w:sz w:val="18"/>
                <w:szCs w:val="18"/>
              </w:rPr>
            </w:pPr>
            <w:r w:rsidRPr="00510AD0">
              <w:rPr>
                <w:sz w:val="18"/>
                <w:szCs w:val="18"/>
              </w:rPr>
              <w:t>Customer name</w:t>
            </w:r>
          </w:p>
        </w:tc>
        <w:tc>
          <w:tcPr>
            <w:tcW w:w="870" w:type="pct"/>
            <w:shd w:val="clear" w:color="auto" w:fill="F2F2F2" w:themeFill="background1" w:themeFillShade="F2"/>
            <w:vAlign w:val="center"/>
          </w:tcPr>
          <w:p w14:paraId="319D0F1C" w14:textId="77777777" w:rsidR="0055205C" w:rsidRPr="00510AD0" w:rsidRDefault="0055205C" w:rsidP="00A70840">
            <w:pPr>
              <w:spacing w:before="60"/>
              <w:jc w:val="center"/>
              <w:rPr>
                <w:sz w:val="18"/>
                <w:szCs w:val="18"/>
              </w:rPr>
            </w:pPr>
            <w:r w:rsidRPr="00510AD0">
              <w:rPr>
                <w:sz w:val="18"/>
                <w:szCs w:val="18"/>
              </w:rPr>
              <w:t>Physical address of Site</w:t>
            </w:r>
          </w:p>
        </w:tc>
        <w:tc>
          <w:tcPr>
            <w:tcW w:w="483" w:type="pct"/>
            <w:shd w:val="clear" w:color="auto" w:fill="F2F2F2" w:themeFill="background1" w:themeFillShade="F2"/>
            <w:vAlign w:val="center"/>
          </w:tcPr>
          <w:p w14:paraId="715981A1" w14:textId="77777777" w:rsidR="0055205C" w:rsidRPr="00510AD0" w:rsidRDefault="0055205C" w:rsidP="00A70840">
            <w:pPr>
              <w:spacing w:before="60"/>
              <w:jc w:val="center"/>
              <w:rPr>
                <w:sz w:val="18"/>
                <w:szCs w:val="18"/>
              </w:rPr>
            </w:pPr>
            <w:r w:rsidRPr="00510AD0">
              <w:rPr>
                <w:sz w:val="18"/>
                <w:szCs w:val="18"/>
              </w:rPr>
              <w:t>Total Unit capacity installed as part of the Project</w:t>
            </w:r>
          </w:p>
        </w:tc>
        <w:tc>
          <w:tcPr>
            <w:tcW w:w="580" w:type="pct"/>
            <w:shd w:val="clear" w:color="auto" w:fill="F2F2F2" w:themeFill="background1" w:themeFillShade="F2"/>
            <w:vAlign w:val="center"/>
          </w:tcPr>
          <w:p w14:paraId="11CF033D" w14:textId="77777777" w:rsidR="0055205C" w:rsidRPr="00510AD0" w:rsidRDefault="0055205C" w:rsidP="00A70840">
            <w:pPr>
              <w:spacing w:before="60"/>
              <w:jc w:val="center"/>
              <w:rPr>
                <w:sz w:val="18"/>
                <w:szCs w:val="18"/>
              </w:rPr>
            </w:pPr>
            <w:r w:rsidRPr="00510AD0">
              <w:rPr>
                <w:sz w:val="18"/>
                <w:szCs w:val="18"/>
              </w:rPr>
              <w:t>Unit capacity installed to meet  capacity associated with Operational Characteristics (no SGIP funds)</w:t>
            </w:r>
          </w:p>
        </w:tc>
        <w:tc>
          <w:tcPr>
            <w:tcW w:w="515" w:type="pct"/>
            <w:shd w:val="clear" w:color="auto" w:fill="F2F2F2" w:themeFill="background1" w:themeFillShade="F2"/>
            <w:vAlign w:val="center"/>
          </w:tcPr>
          <w:p w14:paraId="4DBBF77A" w14:textId="77777777" w:rsidR="0055205C" w:rsidRPr="00510AD0" w:rsidRDefault="0055205C" w:rsidP="00A70840">
            <w:pPr>
              <w:spacing w:before="60"/>
              <w:jc w:val="center"/>
              <w:rPr>
                <w:sz w:val="18"/>
                <w:szCs w:val="18"/>
              </w:rPr>
            </w:pPr>
            <w:r w:rsidRPr="00510AD0">
              <w:rPr>
                <w:sz w:val="18"/>
                <w:szCs w:val="18"/>
              </w:rPr>
              <w:t>Unit capacity installed in excess of capacity associated with Operational Characteristics (Specify if SGIP is used)</w:t>
            </w:r>
          </w:p>
        </w:tc>
        <w:tc>
          <w:tcPr>
            <w:tcW w:w="644" w:type="pct"/>
            <w:shd w:val="clear" w:color="auto" w:fill="F2F2F2" w:themeFill="background1" w:themeFillShade="F2"/>
            <w:vAlign w:val="center"/>
          </w:tcPr>
          <w:p w14:paraId="3F11E5A0" w14:textId="77777777" w:rsidR="0055205C" w:rsidRPr="00510AD0" w:rsidRDefault="0055205C" w:rsidP="00A70840">
            <w:pPr>
              <w:spacing w:before="60"/>
              <w:jc w:val="center"/>
              <w:rPr>
                <w:sz w:val="18"/>
                <w:szCs w:val="18"/>
              </w:rPr>
            </w:pPr>
            <w:r w:rsidRPr="00510AD0">
              <w:rPr>
                <w:sz w:val="18"/>
                <w:szCs w:val="18"/>
              </w:rPr>
              <w:t>Unit manufacturer(s) and model number(s) installed at Site with corresponding Unit capacity</w:t>
            </w:r>
          </w:p>
        </w:tc>
        <w:tc>
          <w:tcPr>
            <w:tcW w:w="387" w:type="pct"/>
            <w:shd w:val="clear" w:color="auto" w:fill="F2F2F2" w:themeFill="background1" w:themeFillShade="F2"/>
            <w:vAlign w:val="center"/>
          </w:tcPr>
          <w:p w14:paraId="2CA310F4" w14:textId="77777777" w:rsidR="0055205C" w:rsidRPr="00510AD0" w:rsidRDefault="0055205C" w:rsidP="00A70840">
            <w:pPr>
              <w:spacing w:before="60"/>
              <w:jc w:val="center"/>
              <w:rPr>
                <w:sz w:val="18"/>
                <w:szCs w:val="18"/>
              </w:rPr>
            </w:pPr>
            <w:r w:rsidRPr="00510AD0">
              <w:rPr>
                <w:sz w:val="18"/>
                <w:szCs w:val="18"/>
              </w:rPr>
              <w:t>CAISO Resource ID</w:t>
            </w:r>
          </w:p>
        </w:tc>
        <w:tc>
          <w:tcPr>
            <w:tcW w:w="515" w:type="pct"/>
            <w:shd w:val="clear" w:color="auto" w:fill="F2F2F2" w:themeFill="background1" w:themeFillShade="F2"/>
            <w:vAlign w:val="center"/>
          </w:tcPr>
          <w:p w14:paraId="06CE34B7" w14:textId="77777777" w:rsidR="0055205C" w:rsidRPr="00510AD0" w:rsidRDefault="0055205C" w:rsidP="00A70840">
            <w:pPr>
              <w:spacing w:before="60"/>
              <w:jc w:val="center"/>
              <w:rPr>
                <w:sz w:val="18"/>
                <w:szCs w:val="18"/>
              </w:rPr>
            </w:pPr>
            <w:r w:rsidRPr="00510AD0">
              <w:rPr>
                <w:sz w:val="18"/>
                <w:szCs w:val="18"/>
              </w:rPr>
              <w:t>Sub-LAP</w:t>
            </w:r>
          </w:p>
        </w:tc>
      </w:tr>
      <w:tr w:rsidR="0055205C" w:rsidRPr="00510AD0" w14:paraId="22DA02B3" w14:textId="77777777" w:rsidTr="00A70840">
        <w:trPr>
          <w:jc w:val="center"/>
        </w:trPr>
        <w:tc>
          <w:tcPr>
            <w:tcW w:w="329" w:type="pct"/>
          </w:tcPr>
          <w:p w14:paraId="4C846CDE" w14:textId="77777777" w:rsidR="0055205C" w:rsidRPr="00510AD0" w:rsidRDefault="0055205C" w:rsidP="00A70840">
            <w:pPr>
              <w:spacing w:before="60"/>
            </w:pPr>
          </w:p>
        </w:tc>
        <w:tc>
          <w:tcPr>
            <w:tcW w:w="677" w:type="pct"/>
          </w:tcPr>
          <w:p w14:paraId="0F515865" w14:textId="77777777" w:rsidR="0055205C" w:rsidRPr="00510AD0" w:rsidRDefault="0055205C" w:rsidP="00A70840">
            <w:pPr>
              <w:spacing w:before="60"/>
            </w:pPr>
          </w:p>
        </w:tc>
        <w:tc>
          <w:tcPr>
            <w:tcW w:w="870" w:type="pct"/>
          </w:tcPr>
          <w:p w14:paraId="3EB8C2B4" w14:textId="77777777" w:rsidR="0055205C" w:rsidRPr="00510AD0" w:rsidRDefault="0055205C" w:rsidP="00A70840">
            <w:pPr>
              <w:spacing w:before="60"/>
            </w:pPr>
          </w:p>
        </w:tc>
        <w:tc>
          <w:tcPr>
            <w:tcW w:w="483" w:type="pct"/>
          </w:tcPr>
          <w:p w14:paraId="51124D14" w14:textId="77777777" w:rsidR="0055205C" w:rsidRPr="00510AD0" w:rsidRDefault="0055205C" w:rsidP="00A70840">
            <w:pPr>
              <w:spacing w:before="60"/>
            </w:pPr>
          </w:p>
        </w:tc>
        <w:tc>
          <w:tcPr>
            <w:tcW w:w="580" w:type="pct"/>
          </w:tcPr>
          <w:p w14:paraId="4623E25D" w14:textId="77777777" w:rsidR="0055205C" w:rsidRPr="00510AD0" w:rsidRDefault="0055205C" w:rsidP="00A70840">
            <w:pPr>
              <w:spacing w:before="60"/>
            </w:pPr>
          </w:p>
        </w:tc>
        <w:tc>
          <w:tcPr>
            <w:tcW w:w="515" w:type="pct"/>
          </w:tcPr>
          <w:p w14:paraId="69AFEB6A" w14:textId="77777777" w:rsidR="0055205C" w:rsidRPr="00510AD0" w:rsidRDefault="0055205C" w:rsidP="00A70840">
            <w:pPr>
              <w:spacing w:before="60"/>
            </w:pPr>
          </w:p>
        </w:tc>
        <w:tc>
          <w:tcPr>
            <w:tcW w:w="644" w:type="pct"/>
          </w:tcPr>
          <w:p w14:paraId="1CE73559" w14:textId="77777777" w:rsidR="0055205C" w:rsidRPr="00510AD0" w:rsidRDefault="0055205C" w:rsidP="00A70840">
            <w:pPr>
              <w:spacing w:before="60"/>
            </w:pPr>
          </w:p>
        </w:tc>
        <w:tc>
          <w:tcPr>
            <w:tcW w:w="387" w:type="pct"/>
          </w:tcPr>
          <w:p w14:paraId="6CF66A20" w14:textId="77777777" w:rsidR="0055205C" w:rsidRPr="00510AD0" w:rsidRDefault="0055205C" w:rsidP="00A70840">
            <w:pPr>
              <w:spacing w:before="60"/>
            </w:pPr>
          </w:p>
        </w:tc>
        <w:tc>
          <w:tcPr>
            <w:tcW w:w="515" w:type="pct"/>
          </w:tcPr>
          <w:p w14:paraId="445242D0" w14:textId="77777777" w:rsidR="0055205C" w:rsidRPr="00510AD0" w:rsidRDefault="0055205C" w:rsidP="00A70840">
            <w:pPr>
              <w:spacing w:before="60"/>
            </w:pPr>
          </w:p>
        </w:tc>
      </w:tr>
      <w:tr w:rsidR="0055205C" w:rsidRPr="00510AD0" w14:paraId="18771D5B" w14:textId="77777777" w:rsidTr="00A70840">
        <w:trPr>
          <w:jc w:val="center"/>
        </w:trPr>
        <w:tc>
          <w:tcPr>
            <w:tcW w:w="329" w:type="pct"/>
          </w:tcPr>
          <w:p w14:paraId="20A65E67" w14:textId="77777777" w:rsidR="0055205C" w:rsidRPr="00510AD0" w:rsidRDefault="0055205C" w:rsidP="00A70840">
            <w:pPr>
              <w:spacing w:before="60"/>
            </w:pPr>
          </w:p>
        </w:tc>
        <w:tc>
          <w:tcPr>
            <w:tcW w:w="677" w:type="pct"/>
          </w:tcPr>
          <w:p w14:paraId="298052F0" w14:textId="77777777" w:rsidR="0055205C" w:rsidRPr="00510AD0" w:rsidRDefault="0055205C" w:rsidP="00A70840">
            <w:pPr>
              <w:spacing w:before="60"/>
            </w:pPr>
          </w:p>
        </w:tc>
        <w:tc>
          <w:tcPr>
            <w:tcW w:w="870" w:type="pct"/>
          </w:tcPr>
          <w:p w14:paraId="3AFA7989" w14:textId="77777777" w:rsidR="0055205C" w:rsidRPr="00510AD0" w:rsidRDefault="0055205C" w:rsidP="00A70840">
            <w:pPr>
              <w:spacing w:before="60"/>
            </w:pPr>
          </w:p>
        </w:tc>
        <w:tc>
          <w:tcPr>
            <w:tcW w:w="483" w:type="pct"/>
          </w:tcPr>
          <w:p w14:paraId="36154706" w14:textId="77777777" w:rsidR="0055205C" w:rsidRPr="00510AD0" w:rsidRDefault="0055205C" w:rsidP="00A70840">
            <w:pPr>
              <w:spacing w:before="60"/>
            </w:pPr>
          </w:p>
        </w:tc>
        <w:tc>
          <w:tcPr>
            <w:tcW w:w="580" w:type="pct"/>
          </w:tcPr>
          <w:p w14:paraId="69528B3E" w14:textId="77777777" w:rsidR="0055205C" w:rsidRPr="00510AD0" w:rsidRDefault="0055205C" w:rsidP="00A70840">
            <w:pPr>
              <w:spacing w:before="60"/>
            </w:pPr>
          </w:p>
        </w:tc>
        <w:tc>
          <w:tcPr>
            <w:tcW w:w="515" w:type="pct"/>
          </w:tcPr>
          <w:p w14:paraId="1EB4B01A" w14:textId="77777777" w:rsidR="0055205C" w:rsidRPr="00510AD0" w:rsidRDefault="0055205C" w:rsidP="00A70840">
            <w:pPr>
              <w:spacing w:before="60"/>
            </w:pPr>
          </w:p>
        </w:tc>
        <w:tc>
          <w:tcPr>
            <w:tcW w:w="644" w:type="pct"/>
          </w:tcPr>
          <w:p w14:paraId="14D4A279" w14:textId="77777777" w:rsidR="0055205C" w:rsidRPr="00510AD0" w:rsidRDefault="0055205C" w:rsidP="00A70840">
            <w:pPr>
              <w:spacing w:before="60"/>
            </w:pPr>
          </w:p>
        </w:tc>
        <w:tc>
          <w:tcPr>
            <w:tcW w:w="387" w:type="pct"/>
          </w:tcPr>
          <w:p w14:paraId="3C69CB4E" w14:textId="77777777" w:rsidR="0055205C" w:rsidRPr="00510AD0" w:rsidRDefault="0055205C" w:rsidP="00A70840">
            <w:pPr>
              <w:spacing w:before="60"/>
            </w:pPr>
          </w:p>
        </w:tc>
        <w:tc>
          <w:tcPr>
            <w:tcW w:w="515" w:type="pct"/>
          </w:tcPr>
          <w:p w14:paraId="41A956E3" w14:textId="77777777" w:rsidR="0055205C" w:rsidRPr="00510AD0" w:rsidRDefault="0055205C" w:rsidP="00A70840">
            <w:pPr>
              <w:spacing w:before="60"/>
            </w:pPr>
          </w:p>
        </w:tc>
      </w:tr>
      <w:tr w:rsidR="0055205C" w:rsidRPr="00510AD0" w14:paraId="1C0D8929" w14:textId="77777777" w:rsidTr="00A70840">
        <w:trPr>
          <w:jc w:val="center"/>
        </w:trPr>
        <w:tc>
          <w:tcPr>
            <w:tcW w:w="329" w:type="pct"/>
          </w:tcPr>
          <w:p w14:paraId="2CADEC33" w14:textId="77777777" w:rsidR="0055205C" w:rsidRPr="00510AD0" w:rsidRDefault="0055205C" w:rsidP="00A70840">
            <w:pPr>
              <w:spacing w:before="60"/>
            </w:pPr>
          </w:p>
        </w:tc>
        <w:tc>
          <w:tcPr>
            <w:tcW w:w="677" w:type="pct"/>
          </w:tcPr>
          <w:p w14:paraId="274B2696" w14:textId="77777777" w:rsidR="0055205C" w:rsidRPr="00510AD0" w:rsidRDefault="0055205C" w:rsidP="00A70840">
            <w:pPr>
              <w:spacing w:before="60"/>
            </w:pPr>
          </w:p>
        </w:tc>
        <w:tc>
          <w:tcPr>
            <w:tcW w:w="870" w:type="pct"/>
          </w:tcPr>
          <w:p w14:paraId="09141BF7" w14:textId="77777777" w:rsidR="0055205C" w:rsidRPr="00510AD0" w:rsidRDefault="0055205C" w:rsidP="00A70840">
            <w:pPr>
              <w:spacing w:before="60"/>
            </w:pPr>
          </w:p>
        </w:tc>
        <w:tc>
          <w:tcPr>
            <w:tcW w:w="483" w:type="pct"/>
          </w:tcPr>
          <w:p w14:paraId="6381938B" w14:textId="77777777" w:rsidR="0055205C" w:rsidRPr="00510AD0" w:rsidRDefault="0055205C" w:rsidP="00A70840">
            <w:pPr>
              <w:spacing w:before="60"/>
            </w:pPr>
          </w:p>
        </w:tc>
        <w:tc>
          <w:tcPr>
            <w:tcW w:w="580" w:type="pct"/>
          </w:tcPr>
          <w:p w14:paraId="7D0619E7" w14:textId="77777777" w:rsidR="0055205C" w:rsidRPr="00510AD0" w:rsidRDefault="0055205C" w:rsidP="00A70840">
            <w:pPr>
              <w:spacing w:before="60"/>
            </w:pPr>
          </w:p>
        </w:tc>
        <w:tc>
          <w:tcPr>
            <w:tcW w:w="515" w:type="pct"/>
          </w:tcPr>
          <w:p w14:paraId="6E1CAE06" w14:textId="77777777" w:rsidR="0055205C" w:rsidRPr="00510AD0" w:rsidRDefault="0055205C" w:rsidP="00A70840">
            <w:pPr>
              <w:spacing w:before="60"/>
            </w:pPr>
          </w:p>
        </w:tc>
        <w:tc>
          <w:tcPr>
            <w:tcW w:w="644" w:type="pct"/>
          </w:tcPr>
          <w:p w14:paraId="5D4D06CD" w14:textId="77777777" w:rsidR="0055205C" w:rsidRPr="00510AD0" w:rsidRDefault="0055205C" w:rsidP="00A70840">
            <w:pPr>
              <w:spacing w:before="60"/>
            </w:pPr>
          </w:p>
        </w:tc>
        <w:tc>
          <w:tcPr>
            <w:tcW w:w="387" w:type="pct"/>
          </w:tcPr>
          <w:p w14:paraId="6F0AD297" w14:textId="77777777" w:rsidR="0055205C" w:rsidRPr="00510AD0" w:rsidRDefault="0055205C" w:rsidP="00A70840">
            <w:pPr>
              <w:spacing w:before="60"/>
            </w:pPr>
          </w:p>
        </w:tc>
        <w:tc>
          <w:tcPr>
            <w:tcW w:w="515" w:type="pct"/>
          </w:tcPr>
          <w:p w14:paraId="0D3DEF2F" w14:textId="77777777" w:rsidR="0055205C" w:rsidRPr="00510AD0" w:rsidRDefault="0055205C" w:rsidP="00A70840">
            <w:pPr>
              <w:spacing w:before="60"/>
            </w:pPr>
          </w:p>
        </w:tc>
      </w:tr>
      <w:tr w:rsidR="0055205C" w:rsidRPr="00510AD0" w14:paraId="4F9DE3FB" w14:textId="77777777" w:rsidTr="00A70840">
        <w:trPr>
          <w:jc w:val="center"/>
        </w:trPr>
        <w:tc>
          <w:tcPr>
            <w:tcW w:w="329" w:type="pct"/>
          </w:tcPr>
          <w:p w14:paraId="4E53AE61" w14:textId="77777777" w:rsidR="0055205C" w:rsidRPr="00510AD0" w:rsidRDefault="0055205C" w:rsidP="00A70840">
            <w:pPr>
              <w:spacing w:before="60"/>
            </w:pPr>
          </w:p>
        </w:tc>
        <w:tc>
          <w:tcPr>
            <w:tcW w:w="677" w:type="pct"/>
          </w:tcPr>
          <w:p w14:paraId="7B5599D3" w14:textId="77777777" w:rsidR="0055205C" w:rsidRPr="00510AD0" w:rsidRDefault="0055205C" w:rsidP="00A70840">
            <w:pPr>
              <w:spacing w:before="60"/>
            </w:pPr>
          </w:p>
        </w:tc>
        <w:tc>
          <w:tcPr>
            <w:tcW w:w="870" w:type="pct"/>
          </w:tcPr>
          <w:p w14:paraId="1DFB24A6" w14:textId="77777777" w:rsidR="0055205C" w:rsidRPr="00510AD0" w:rsidRDefault="0055205C" w:rsidP="00A70840">
            <w:pPr>
              <w:spacing w:before="60"/>
            </w:pPr>
          </w:p>
        </w:tc>
        <w:tc>
          <w:tcPr>
            <w:tcW w:w="483" w:type="pct"/>
          </w:tcPr>
          <w:p w14:paraId="46B9A47C" w14:textId="77777777" w:rsidR="0055205C" w:rsidRPr="00510AD0" w:rsidRDefault="0055205C" w:rsidP="00A70840">
            <w:pPr>
              <w:spacing w:before="60"/>
            </w:pPr>
          </w:p>
        </w:tc>
        <w:tc>
          <w:tcPr>
            <w:tcW w:w="580" w:type="pct"/>
          </w:tcPr>
          <w:p w14:paraId="5AE7FB04" w14:textId="77777777" w:rsidR="0055205C" w:rsidRPr="00510AD0" w:rsidRDefault="0055205C" w:rsidP="00A70840">
            <w:pPr>
              <w:spacing w:before="60"/>
            </w:pPr>
          </w:p>
        </w:tc>
        <w:tc>
          <w:tcPr>
            <w:tcW w:w="515" w:type="pct"/>
          </w:tcPr>
          <w:p w14:paraId="1095BDB8" w14:textId="77777777" w:rsidR="0055205C" w:rsidRPr="00510AD0" w:rsidRDefault="0055205C" w:rsidP="00A70840">
            <w:pPr>
              <w:spacing w:before="60"/>
            </w:pPr>
          </w:p>
        </w:tc>
        <w:tc>
          <w:tcPr>
            <w:tcW w:w="644" w:type="pct"/>
          </w:tcPr>
          <w:p w14:paraId="5B9BF995" w14:textId="77777777" w:rsidR="0055205C" w:rsidRPr="00510AD0" w:rsidRDefault="0055205C" w:rsidP="00A70840">
            <w:pPr>
              <w:spacing w:before="60"/>
            </w:pPr>
          </w:p>
        </w:tc>
        <w:tc>
          <w:tcPr>
            <w:tcW w:w="387" w:type="pct"/>
          </w:tcPr>
          <w:p w14:paraId="09C2BCBF" w14:textId="77777777" w:rsidR="0055205C" w:rsidRPr="00510AD0" w:rsidRDefault="0055205C" w:rsidP="00A70840">
            <w:pPr>
              <w:spacing w:before="60"/>
            </w:pPr>
          </w:p>
        </w:tc>
        <w:tc>
          <w:tcPr>
            <w:tcW w:w="515" w:type="pct"/>
          </w:tcPr>
          <w:p w14:paraId="0ECFA948" w14:textId="77777777" w:rsidR="0055205C" w:rsidRPr="00510AD0" w:rsidRDefault="0055205C" w:rsidP="00A70840">
            <w:pPr>
              <w:spacing w:before="60"/>
            </w:pPr>
          </w:p>
        </w:tc>
      </w:tr>
    </w:tbl>
    <w:p w14:paraId="773FF031" w14:textId="77777777" w:rsidR="0055205C" w:rsidRPr="00510AD0" w:rsidRDefault="0055205C" w:rsidP="00A70840">
      <w:pPr>
        <w:pStyle w:val="BodyTextLeft"/>
      </w:pPr>
    </w:p>
    <w:p w14:paraId="6AEE8A19" w14:textId="77777777" w:rsidR="0055205C" w:rsidRPr="00510AD0" w:rsidRDefault="0055205C" w:rsidP="00A70840">
      <w:pPr>
        <w:pStyle w:val="BodyTextLeft"/>
      </w:pPr>
      <w:r w:rsidRPr="00510AD0">
        <w:t xml:space="preserve">By submitting this Seller’s Portfolio List to Buyer, Seller attests as of the date signed below, that all of the information is accurate and that the Customers and Units comprising Seller’s Portfolio List are in compliance with the terms of the Agreement. </w:t>
      </w:r>
    </w:p>
    <w:tbl>
      <w:tblPr>
        <w:tblW w:w="4968" w:type="dxa"/>
        <w:tblLayout w:type="fixed"/>
        <w:tblLook w:val="00A0" w:firstRow="1" w:lastRow="0" w:firstColumn="1" w:lastColumn="0" w:noHBand="0" w:noVBand="0"/>
      </w:tblPr>
      <w:tblGrid>
        <w:gridCol w:w="1278"/>
        <w:gridCol w:w="3690"/>
      </w:tblGrid>
      <w:tr w:rsidR="0055205C" w:rsidRPr="00510AD0" w14:paraId="368BBB0F" w14:textId="77777777" w:rsidTr="002429D4">
        <w:trPr>
          <w:trHeight w:val="288"/>
        </w:trPr>
        <w:tc>
          <w:tcPr>
            <w:tcW w:w="1278" w:type="dxa"/>
            <w:vAlign w:val="bottom"/>
          </w:tcPr>
          <w:p w14:paraId="5C34DC7D" w14:textId="77777777" w:rsidR="0055205C" w:rsidRPr="00510AD0" w:rsidRDefault="0055205C" w:rsidP="00A70840">
            <w:pPr>
              <w:keepNext/>
              <w:jc w:val="right"/>
            </w:pPr>
            <w:r w:rsidRPr="00510AD0">
              <w:t>Signature:</w:t>
            </w:r>
          </w:p>
        </w:tc>
        <w:tc>
          <w:tcPr>
            <w:tcW w:w="3690" w:type="dxa"/>
            <w:tcBorders>
              <w:bottom w:val="single" w:sz="4" w:space="0" w:color="auto"/>
            </w:tcBorders>
            <w:vAlign w:val="bottom"/>
          </w:tcPr>
          <w:p w14:paraId="72FB878A" w14:textId="77777777" w:rsidR="0055205C" w:rsidRPr="00510AD0" w:rsidRDefault="0055205C" w:rsidP="00A70840">
            <w:pPr>
              <w:keepNext/>
            </w:pPr>
          </w:p>
        </w:tc>
      </w:tr>
      <w:tr w:rsidR="0055205C" w:rsidRPr="00510AD0" w14:paraId="01FD12BB" w14:textId="77777777" w:rsidTr="002429D4">
        <w:trPr>
          <w:trHeight w:val="288"/>
        </w:trPr>
        <w:tc>
          <w:tcPr>
            <w:tcW w:w="1278" w:type="dxa"/>
            <w:vAlign w:val="bottom"/>
          </w:tcPr>
          <w:p w14:paraId="29940717" w14:textId="77777777" w:rsidR="0055205C" w:rsidRPr="00510AD0" w:rsidRDefault="0055205C" w:rsidP="00A70840">
            <w:pPr>
              <w:keepNext/>
              <w:jc w:val="right"/>
            </w:pPr>
            <w:r w:rsidRPr="00510AD0">
              <w:t>Name:</w:t>
            </w:r>
          </w:p>
        </w:tc>
        <w:tc>
          <w:tcPr>
            <w:tcW w:w="3690" w:type="dxa"/>
            <w:tcBorders>
              <w:top w:val="single" w:sz="4" w:space="0" w:color="auto"/>
              <w:bottom w:val="single" w:sz="4" w:space="0" w:color="auto"/>
            </w:tcBorders>
            <w:vAlign w:val="bottom"/>
          </w:tcPr>
          <w:p w14:paraId="2EE0D2A0" w14:textId="77777777" w:rsidR="0055205C" w:rsidRPr="00510AD0" w:rsidRDefault="0055205C" w:rsidP="00A70840">
            <w:pPr>
              <w:keepNext/>
            </w:pPr>
          </w:p>
        </w:tc>
      </w:tr>
      <w:tr w:rsidR="0055205C" w:rsidRPr="00510AD0" w14:paraId="7765E202" w14:textId="77777777" w:rsidTr="002429D4">
        <w:trPr>
          <w:trHeight w:val="288"/>
        </w:trPr>
        <w:tc>
          <w:tcPr>
            <w:tcW w:w="1278" w:type="dxa"/>
            <w:vAlign w:val="bottom"/>
          </w:tcPr>
          <w:p w14:paraId="64C431CD" w14:textId="77777777" w:rsidR="0055205C" w:rsidRPr="00510AD0" w:rsidRDefault="0055205C" w:rsidP="00A70840">
            <w:pPr>
              <w:keepNext/>
              <w:jc w:val="right"/>
            </w:pPr>
            <w:r w:rsidRPr="00510AD0">
              <w:t>Title:</w:t>
            </w:r>
          </w:p>
        </w:tc>
        <w:tc>
          <w:tcPr>
            <w:tcW w:w="3690" w:type="dxa"/>
            <w:tcBorders>
              <w:top w:val="single" w:sz="4" w:space="0" w:color="auto"/>
              <w:bottom w:val="single" w:sz="4" w:space="0" w:color="auto"/>
            </w:tcBorders>
            <w:vAlign w:val="bottom"/>
          </w:tcPr>
          <w:p w14:paraId="55B76336" w14:textId="77777777" w:rsidR="0055205C" w:rsidRPr="00510AD0" w:rsidRDefault="0055205C" w:rsidP="00A70840">
            <w:pPr>
              <w:keepNext/>
            </w:pPr>
          </w:p>
        </w:tc>
      </w:tr>
      <w:tr w:rsidR="0055205C" w:rsidRPr="00510AD0" w14:paraId="41923C73" w14:textId="77777777" w:rsidTr="002429D4">
        <w:trPr>
          <w:trHeight w:val="288"/>
        </w:trPr>
        <w:tc>
          <w:tcPr>
            <w:tcW w:w="1278" w:type="dxa"/>
            <w:vAlign w:val="bottom"/>
          </w:tcPr>
          <w:p w14:paraId="1A9C6D4D" w14:textId="77777777" w:rsidR="0055205C" w:rsidRPr="00510AD0" w:rsidRDefault="0055205C" w:rsidP="00A70840">
            <w:pPr>
              <w:jc w:val="right"/>
            </w:pPr>
            <w:r w:rsidRPr="00510AD0">
              <w:t>Date:</w:t>
            </w:r>
          </w:p>
        </w:tc>
        <w:tc>
          <w:tcPr>
            <w:tcW w:w="3690" w:type="dxa"/>
            <w:tcBorders>
              <w:top w:val="single" w:sz="4" w:space="0" w:color="auto"/>
              <w:bottom w:val="single" w:sz="4" w:space="0" w:color="auto"/>
            </w:tcBorders>
            <w:vAlign w:val="bottom"/>
          </w:tcPr>
          <w:p w14:paraId="7E19DF23" w14:textId="77777777" w:rsidR="0055205C" w:rsidRPr="00510AD0" w:rsidRDefault="0055205C" w:rsidP="00A70840"/>
        </w:tc>
      </w:tr>
    </w:tbl>
    <w:p w14:paraId="2225CFA3" w14:textId="77777777" w:rsidR="0055205C" w:rsidRPr="00510AD0" w:rsidRDefault="0055205C" w:rsidP="00E907E0">
      <w:pPr>
        <w:spacing w:after="240"/>
        <w:sectPr w:rsidR="0055205C" w:rsidRPr="00510AD0" w:rsidSect="002429D4">
          <w:footerReference w:type="first" r:id="rId69"/>
          <w:pgSz w:w="15840" w:h="12240" w:orient="landscape"/>
          <w:pgMar w:top="1440" w:right="1440" w:bottom="1440" w:left="1440" w:header="432" w:footer="432" w:gutter="0"/>
          <w:pgNumType w:start="1"/>
          <w:cols w:space="720"/>
          <w:titlePg/>
          <w:docGrid w:linePitch="360"/>
        </w:sectPr>
      </w:pPr>
    </w:p>
    <w:p w14:paraId="1F9B5B1C" w14:textId="77777777" w:rsidR="0055205C" w:rsidRPr="00510AD0" w:rsidRDefault="0055205C" w:rsidP="00027CC8">
      <w:pPr>
        <w:pStyle w:val="Appendix"/>
      </w:pPr>
      <w:r w:rsidRPr="00510AD0">
        <w:lastRenderedPageBreak/>
        <w:t>[APPENDIX XXI</w:t>
      </w:r>
      <w:r w:rsidRPr="00510AD0">
        <w:br/>
      </w:r>
      <w:r w:rsidRPr="00510AD0">
        <w:br/>
        <w:t>LIST OF SUBSTATIONS]</w:t>
      </w:r>
      <w:r w:rsidRPr="00510AD0">
        <w:rPr>
          <w:rStyle w:val="FootnoteReference"/>
        </w:rPr>
        <w:footnoteReference w:id="73"/>
      </w:r>
    </w:p>
    <w:p w14:paraId="2603122C" w14:textId="77777777" w:rsidR="0055205C" w:rsidRPr="00510AD0" w:rsidRDefault="0055205C" w:rsidP="00A70840">
      <w:pPr>
        <w:pStyle w:val="BodyTextLeftBold"/>
        <w:jc w:val="center"/>
        <w:rPr>
          <w:i/>
          <w:iCs/>
          <w:color w:val="0000FF"/>
        </w:rPr>
      </w:pPr>
      <w:r w:rsidRPr="00510AD0">
        <w:rPr>
          <w:i/>
          <w:iCs/>
          <w:color w:val="0000FF"/>
        </w:rPr>
        <w:t>[Seller to insert based on Offer]</w:t>
      </w:r>
    </w:p>
    <w:p w14:paraId="5EDCE305" w14:textId="77777777" w:rsidR="0055205C" w:rsidRPr="00510AD0" w:rsidRDefault="0055205C" w:rsidP="00E907E0">
      <w:pPr>
        <w:spacing w:after="240"/>
        <w:jc w:val="center"/>
        <w:rPr>
          <w:b/>
          <w:bCs/>
        </w:rPr>
      </w:pPr>
    </w:p>
    <w:p w14:paraId="5AFE2A21" w14:textId="77777777" w:rsidR="0055205C" w:rsidRPr="00510AD0" w:rsidRDefault="0055205C" w:rsidP="00E907E0">
      <w:pPr>
        <w:spacing w:after="240"/>
        <w:sectPr w:rsidR="0055205C" w:rsidRPr="00510AD0" w:rsidSect="00A66A55">
          <w:footerReference w:type="first" r:id="rId70"/>
          <w:pgSz w:w="12240" w:h="15840"/>
          <w:pgMar w:top="1440" w:right="1440" w:bottom="1440" w:left="1440" w:header="432" w:footer="432" w:gutter="0"/>
          <w:pgNumType w:start="1"/>
          <w:cols w:space="720"/>
          <w:titlePg/>
          <w:docGrid w:linePitch="360"/>
        </w:sectPr>
      </w:pPr>
    </w:p>
    <w:p w14:paraId="0C8C7AF1" w14:textId="6F6C1609" w:rsidR="0055205C" w:rsidRPr="00510AD0" w:rsidRDefault="0055205C" w:rsidP="00E907E0">
      <w:pPr>
        <w:pStyle w:val="BodyTextLeftBold"/>
        <w:jc w:val="center"/>
      </w:pPr>
      <w:r w:rsidRPr="00510AD0">
        <w:lastRenderedPageBreak/>
        <w:t>END OF AGREEMENT</w:t>
      </w:r>
    </w:p>
    <w:sectPr w:rsidR="0055205C" w:rsidRPr="00510AD0" w:rsidSect="000936E4">
      <w:footerReference w:type="first" r:id="rId71"/>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11AF" w14:textId="77777777" w:rsidR="00867C1A" w:rsidRDefault="00867C1A" w:rsidP="0055205C">
      <w:r>
        <w:separator/>
      </w:r>
    </w:p>
  </w:endnote>
  <w:endnote w:type="continuationSeparator" w:id="0">
    <w:p w14:paraId="5CCCA9C3" w14:textId="77777777" w:rsidR="00867C1A" w:rsidRDefault="00867C1A" w:rsidP="0055205C">
      <w:r>
        <w:continuationSeparator/>
      </w:r>
    </w:p>
  </w:endnote>
  <w:endnote w:type="continuationNotice" w:id="1">
    <w:p w14:paraId="46460C3A" w14:textId="77777777" w:rsidR="00867C1A" w:rsidRDefault="00867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52C4" w14:textId="77777777" w:rsidR="00A1254C" w:rsidRDefault="00A125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2DF8" w14:textId="77777777" w:rsidR="008874B9" w:rsidRPr="003861EE" w:rsidRDefault="008874B9" w:rsidP="0070095F">
    <w:pPr>
      <w:pStyle w:val="Footer"/>
    </w:pPr>
    <w:r w:rsidRPr="003861EE">
      <w:rPr>
        <w:noProof/>
        <w:sz w:val="16"/>
        <w:szCs w:val="16"/>
      </w:rPr>
      <w:tab/>
    </w:r>
    <w:r w:rsidRPr="003861EE">
      <w:rPr>
        <w:noProof/>
      </w:rPr>
      <w:t xml:space="preserve">V - </w:t>
    </w:r>
    <w:bookmarkStart w:id="900" w:name="DocXTextRef376"/>
    <w:r w:rsidRPr="003861EE">
      <w:rPr>
        <w:noProof/>
      </w:rPr>
      <w:t>1</w:t>
    </w:r>
    <w:bookmarkEnd w:id="900"/>
  </w:p>
  <w:p w14:paraId="6F189BF2" w14:textId="478E7086" w:rsidR="0077748A" w:rsidRDefault="008D609F" w:rsidP="008D609F">
    <w:pPr>
      <w:pStyle w:val="Footer"/>
      <w:tabs>
        <w:tab w:val="clear" w:pos="9360"/>
        <w:tab w:val="right" w:pos="10080"/>
      </w:tabs>
      <w:spacing w:before="120"/>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E11B" w14:textId="77777777" w:rsidR="008874B9" w:rsidRPr="003861EE" w:rsidRDefault="008874B9" w:rsidP="0070095F">
    <w:pPr>
      <w:pStyle w:val="Footer"/>
    </w:pPr>
    <w:r w:rsidRPr="003861EE">
      <w:rPr>
        <w:noProof/>
      </w:rPr>
      <w:tab/>
    </w:r>
    <w:r w:rsidRPr="003861EE">
      <w:t>VI</w:t>
    </w:r>
  </w:p>
  <w:p w14:paraId="56345331" w14:textId="676BEAA1" w:rsidR="0077748A" w:rsidRDefault="008D609F" w:rsidP="008D609F">
    <w:pPr>
      <w:pStyle w:val="Footer"/>
      <w:tabs>
        <w:tab w:val="clear" w:pos="9360"/>
        <w:tab w:val="right" w:pos="10080"/>
      </w:tabs>
      <w:spacing w:before="120"/>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1238" w14:textId="77777777" w:rsidR="008874B9" w:rsidRPr="003861EE" w:rsidRDefault="008874B9" w:rsidP="0070095F">
    <w:pPr>
      <w:pStyle w:val="Footer"/>
    </w:pPr>
    <w:r w:rsidRPr="003861EE">
      <w:tab/>
      <w:t xml:space="preserve">VI-A - </w:t>
    </w:r>
    <w:bookmarkStart w:id="901" w:name="DocXTextRef378"/>
    <w:r w:rsidRPr="003861EE">
      <w:t>1</w:t>
    </w:r>
    <w:bookmarkEnd w:id="901"/>
  </w:p>
  <w:p w14:paraId="31845611" w14:textId="5AF8D0D8" w:rsidR="0077748A" w:rsidRDefault="008D609F" w:rsidP="008D609F">
    <w:pPr>
      <w:pStyle w:val="Footer"/>
      <w:tabs>
        <w:tab w:val="clear" w:pos="9360"/>
        <w:tab w:val="right" w:pos="10080"/>
      </w:tabs>
      <w:spacing w:before="120"/>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1A1F" w14:textId="77777777" w:rsidR="008874B9" w:rsidRPr="003861EE" w:rsidRDefault="008874B9" w:rsidP="0070095F">
    <w:pPr>
      <w:pStyle w:val="Footer"/>
    </w:pPr>
    <w:r>
      <w:tab/>
      <w:t>VI-B</w:t>
    </w:r>
    <w:r w:rsidRPr="003861EE">
      <w:t xml:space="preserve"> - </w:t>
    </w:r>
    <w:bookmarkStart w:id="902" w:name="DocXTextRef379"/>
    <w:r w:rsidRPr="003861EE">
      <w:t>1</w:t>
    </w:r>
    <w:bookmarkEnd w:id="902"/>
  </w:p>
  <w:p w14:paraId="7F453FCE" w14:textId="61C4EFA4"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646" w14:textId="77777777" w:rsidR="008874B9" w:rsidRPr="003861EE" w:rsidRDefault="008874B9" w:rsidP="0070095F">
    <w:pPr>
      <w:pStyle w:val="Footer"/>
    </w:pPr>
    <w:r w:rsidRPr="003861EE">
      <w:rPr>
        <w:noProof/>
      </w:rPr>
      <w:tab/>
    </w:r>
    <w:r w:rsidRPr="003861EE">
      <w:t xml:space="preserve">VI-C - </w:t>
    </w:r>
    <w:bookmarkStart w:id="904" w:name="DocXTextRef380"/>
    <w:r w:rsidRPr="003861EE">
      <w:t>1</w:t>
    </w:r>
    <w:bookmarkEnd w:id="904"/>
  </w:p>
  <w:p w14:paraId="24E2E71E" w14:textId="605DE799"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B23A" w14:textId="77777777" w:rsidR="008874B9" w:rsidRPr="003861EE" w:rsidRDefault="008874B9" w:rsidP="0070095F">
    <w:pPr>
      <w:pStyle w:val="Footer"/>
    </w:pPr>
    <w:r w:rsidRPr="003861EE">
      <w:tab/>
      <w:t xml:space="preserve">VI-D - </w:t>
    </w:r>
    <w:bookmarkStart w:id="906" w:name="DocXTextRef381"/>
    <w:r w:rsidRPr="003861EE">
      <w:t>1</w:t>
    </w:r>
    <w:bookmarkEnd w:id="906"/>
  </w:p>
  <w:p w14:paraId="64C48FB4" w14:textId="53D331B4"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F2D9" w14:textId="3C0F940E" w:rsidR="008874B9" w:rsidRPr="003861EE" w:rsidRDefault="008874B9" w:rsidP="0070095F">
    <w:pPr>
      <w:pStyle w:val="Footer"/>
    </w:pPr>
    <w:r w:rsidRPr="003861EE">
      <w:rPr>
        <w:noProof/>
      </w:rPr>
      <w:tab/>
      <w:t>VII</w:t>
    </w:r>
    <w:r w:rsidRPr="003861EE">
      <w:t xml:space="preserve">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599F09AB" w14:textId="15236141"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779" w14:textId="62FE0434" w:rsidR="008874B9" w:rsidRPr="003861EE" w:rsidRDefault="008874B9" w:rsidP="0070095F">
    <w:pPr>
      <w:pStyle w:val="Footer"/>
    </w:pPr>
    <w:r w:rsidRPr="003861EE">
      <w:rPr>
        <w:noProof/>
      </w:rPr>
      <w:tab/>
      <w:t>VII</w:t>
    </w:r>
    <w:r>
      <w:rPr>
        <w:noProof/>
      </w:rPr>
      <w:t>-A</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3242A61B" w14:textId="0E16CA69"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DEB" w14:textId="1949B0AE" w:rsidR="008874B9" w:rsidRPr="003861EE" w:rsidRDefault="008874B9" w:rsidP="0070095F">
    <w:pPr>
      <w:pStyle w:val="Footer"/>
    </w:pPr>
    <w:r w:rsidRPr="003861EE">
      <w:rPr>
        <w:noProof/>
      </w:rPr>
      <w:tab/>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4D231793" w14:textId="36CCA1BD"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651F" w14:textId="0212A40D" w:rsidR="008874B9" w:rsidRPr="003861EE" w:rsidRDefault="008874B9" w:rsidP="0070095F">
    <w:pPr>
      <w:pStyle w:val="Footer"/>
    </w:pPr>
    <w:r w:rsidRPr="003861EE">
      <w:rPr>
        <w:noProof/>
      </w:rPr>
      <w:tab/>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422E36B1" w14:textId="2A18B72D"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819E" w14:textId="5C60E98B" w:rsidR="00F018C1" w:rsidRDefault="008874B9" w:rsidP="000A32B6">
    <w:pPr>
      <w:pStyle w:val="Footer"/>
      <w:tabs>
        <w:tab w:val="clear" w:pos="9360"/>
        <w:tab w:val="right" w:pos="10080"/>
      </w:tabs>
      <w:spacing w:before="120"/>
      <w:rPr>
        <w:sz w:val="16"/>
        <w:szCs w:val="16"/>
      </w:rPr>
    </w:pPr>
    <w:r>
      <w:rPr>
        <w:sz w:val="16"/>
        <w:szCs w:val="16"/>
      </w:rPr>
      <w:t>PG&amp;E 202</w:t>
    </w:r>
    <w:r w:rsidR="0072186F">
      <w:rPr>
        <w:sz w:val="16"/>
        <w:szCs w:val="16"/>
      </w:rPr>
      <w:t>3</w:t>
    </w:r>
    <w:r>
      <w:rPr>
        <w:sz w:val="16"/>
        <w:szCs w:val="16"/>
      </w:rPr>
      <w:t xml:space="preserve"> CPE Local Resource Adequacy RFO - </w:t>
    </w:r>
    <w:r w:rsidR="000A32B6" w:rsidRPr="000A32B6">
      <w:rPr>
        <w:sz w:val="16"/>
        <w:szCs w:val="16"/>
      </w:rPr>
      <w:t>Resource Adequacy Agreement for Non-Owner of New Resource</w:t>
    </w:r>
    <w:r w:rsidR="000A32B6">
      <w:rPr>
        <w:sz w:val="16"/>
        <w:szCs w:val="16"/>
      </w:rPr>
      <w:t xml:space="preserve"> [</w:t>
    </w:r>
    <w:r w:rsidR="0072186F">
      <w:rPr>
        <w:sz w:val="16"/>
        <w:szCs w:val="16"/>
      </w:rPr>
      <w:t>March</w:t>
    </w:r>
    <w:r w:rsidR="000A32B6">
      <w:rPr>
        <w:sz w:val="16"/>
        <w:szCs w:val="16"/>
      </w:rPr>
      <w:t>, 202</w:t>
    </w:r>
    <w:r w:rsidR="0072186F">
      <w:rPr>
        <w:sz w:val="16"/>
        <w:szCs w:val="16"/>
      </w:rPr>
      <w:t>3</w:t>
    </w:r>
    <w:r w:rsidR="000A32B6">
      <w:rPr>
        <w:sz w:val="16"/>
        <w:szCs w:val="16"/>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EB35" w14:textId="291BE43B" w:rsidR="008874B9" w:rsidRPr="003861EE" w:rsidRDefault="008874B9" w:rsidP="0070095F">
    <w:pPr>
      <w:pStyle w:val="Footer"/>
    </w:pPr>
    <w:r w:rsidRPr="003861EE">
      <w:rPr>
        <w:noProof/>
      </w:rPr>
      <w:tab/>
      <w:t>VIII</w:t>
    </w:r>
    <w:r w:rsidRPr="003861EE">
      <w:t xml:space="preserve"> - </w:t>
    </w:r>
    <w:r w:rsidRPr="003861EE">
      <w:fldChar w:fldCharType="begin"/>
    </w:r>
    <w:r w:rsidRPr="003861EE">
      <w:instrText xml:space="preserve"> PAGE  \* Arabic  \* MERGEFORMAT </w:instrText>
    </w:r>
    <w:r w:rsidRPr="003861EE">
      <w:fldChar w:fldCharType="separate"/>
    </w:r>
    <w:r>
      <w:rPr>
        <w:noProof/>
      </w:rPr>
      <w:t>6</w:t>
    </w:r>
    <w:r w:rsidRPr="003861EE">
      <w:fldChar w:fldCharType="end"/>
    </w:r>
  </w:p>
  <w:p w14:paraId="4C2EF808" w14:textId="747B8129"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16B0" w14:textId="77777777" w:rsidR="008874B9" w:rsidRPr="003861EE" w:rsidRDefault="008874B9" w:rsidP="0070095F">
    <w:pPr>
      <w:pStyle w:val="Footer"/>
    </w:pPr>
    <w:r w:rsidRPr="003861EE">
      <w:rPr>
        <w:noProof/>
      </w:rPr>
      <w:tab/>
      <w:t>I</w:t>
    </w:r>
    <w:r w:rsidRPr="003861EE">
      <w:t xml:space="preserve">X - </w:t>
    </w:r>
    <w:bookmarkStart w:id="936" w:name="DocXTextRef423"/>
    <w:r w:rsidRPr="003861EE">
      <w:t>1</w:t>
    </w:r>
    <w:bookmarkEnd w:id="936"/>
  </w:p>
  <w:p w14:paraId="29518862" w14:textId="5CEB54D8" w:rsidR="00F018C1"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781D" w14:textId="77777777" w:rsidR="008874B9" w:rsidRPr="003861EE" w:rsidRDefault="008874B9" w:rsidP="0070095F">
    <w:pPr>
      <w:pStyle w:val="Footer"/>
    </w:pPr>
    <w:r w:rsidRPr="003861EE">
      <w:rPr>
        <w:noProof/>
      </w:rPr>
      <w:tab/>
    </w:r>
    <w:r w:rsidRPr="003861EE">
      <w:t xml:space="preserve">X - </w:t>
    </w:r>
    <w:bookmarkStart w:id="937" w:name="DocXTextRef425"/>
    <w:r w:rsidRPr="003861EE">
      <w:t>1</w:t>
    </w:r>
    <w:bookmarkEnd w:id="937"/>
  </w:p>
  <w:p w14:paraId="65D2D910" w14:textId="04E7B40F"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80C" w14:textId="542CC760" w:rsidR="008874B9" w:rsidRPr="003861EE" w:rsidRDefault="008874B9" w:rsidP="0070095F">
    <w:pPr>
      <w:pStyle w:val="Footer"/>
    </w:pPr>
    <w:r w:rsidRPr="003861EE">
      <w:tab/>
      <w:t xml:space="preserve">XI - </w:t>
    </w:r>
    <w:r w:rsidRPr="003861EE">
      <w:fldChar w:fldCharType="begin"/>
    </w:r>
    <w:r w:rsidRPr="003861EE">
      <w:instrText xml:space="preserve"> PAGE   \* MERGEFORMAT </w:instrText>
    </w:r>
    <w:r w:rsidRPr="003861EE">
      <w:fldChar w:fldCharType="separate"/>
    </w:r>
    <w:r>
      <w:rPr>
        <w:noProof/>
      </w:rPr>
      <w:t>2</w:t>
    </w:r>
    <w:r w:rsidRPr="003861EE">
      <w:rPr>
        <w:noProof/>
      </w:rPr>
      <w:fldChar w:fldCharType="end"/>
    </w:r>
  </w:p>
  <w:p w14:paraId="6797FF7D" w14:textId="601FE9EE"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D62" w14:textId="39B62D45" w:rsidR="008874B9" w:rsidRPr="003861EE" w:rsidRDefault="008874B9" w:rsidP="0088146C">
    <w:pPr>
      <w:pStyle w:val="Footer"/>
    </w:pPr>
    <w:r w:rsidRPr="003861EE">
      <w:tab/>
      <w:t>X</w:t>
    </w:r>
    <w:r>
      <w:t>I</w:t>
    </w:r>
    <w:r w:rsidRPr="003861EE">
      <w:t xml:space="preserve">I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0DB7E1E6" w14:textId="0A766155"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C47" w14:textId="669CE564" w:rsidR="00CD073D" w:rsidRPr="003861EE" w:rsidRDefault="00CD073D" w:rsidP="0088146C">
    <w:pPr>
      <w:pStyle w:val="Footer"/>
    </w:pPr>
    <w:r w:rsidRPr="003861EE">
      <w:tab/>
      <w:t>X</w:t>
    </w:r>
    <w:r>
      <w:t>I</w:t>
    </w:r>
    <w:r w:rsidRPr="003861EE">
      <w:t>I</w:t>
    </w:r>
    <w:r>
      <w:t>I</w:t>
    </w:r>
    <w:r w:rsidRPr="003861EE">
      <w:t xml:space="preserve">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28D74C75" w14:textId="3B66DDD6" w:rsidR="00CD073D"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2EA" w14:textId="77777777" w:rsidR="008874B9" w:rsidRPr="002E16FA" w:rsidRDefault="008874B9" w:rsidP="005B2E97">
    <w:pPr>
      <w:pStyle w:val="Footer"/>
      <w:tabs>
        <w:tab w:val="clear" w:pos="9360"/>
        <w:tab w:val="right" w:pos="10080"/>
      </w:tabs>
      <w:spacing w:before="120"/>
      <w:jc w:val="center"/>
    </w:pPr>
    <w:r w:rsidRPr="002E16FA">
      <w:t xml:space="preserve">XIII - </w:t>
    </w:r>
    <w:bookmarkStart w:id="972" w:name="DocXTextRef459"/>
    <w:r>
      <w:t>3</w:t>
    </w:r>
    <w:bookmarkEnd w:id="972"/>
  </w:p>
  <w:p w14:paraId="3C59A9D2" w14:textId="3245B7A8" w:rsidR="008874B9" w:rsidRDefault="0053297A" w:rsidP="0053297A">
    <w:pPr>
      <w:pStyle w:val="Footer"/>
      <w:tabs>
        <w:tab w:val="clear" w:pos="9360"/>
        <w:tab w:val="right" w:pos="10080"/>
      </w:tabs>
      <w:spacing w:before="120"/>
    </w:pPr>
    <w:r>
      <w:rPr>
        <w:sz w:val="16"/>
        <w:szCs w:val="16"/>
      </w:rPr>
      <w:t xml:space="preserve">PG&amp;E 2022 CPE Local Resource Adequacy RFO - </w:t>
    </w:r>
    <w:r w:rsidRPr="000A32B6">
      <w:rPr>
        <w:sz w:val="16"/>
        <w:szCs w:val="16"/>
      </w:rPr>
      <w:t>Resource Adequacy Agreement for Non-Owner of New Resource</w:t>
    </w:r>
    <w:r>
      <w:rPr>
        <w:sz w:val="16"/>
        <w:szCs w:val="16"/>
      </w:rPr>
      <w:t xml:space="preserve"> [</w:t>
    </w:r>
    <w:r w:rsidR="004A364C">
      <w:rPr>
        <w:sz w:val="16"/>
        <w:szCs w:val="16"/>
      </w:rPr>
      <w:t>July</w:t>
    </w:r>
    <w:r>
      <w:rPr>
        <w:sz w:val="16"/>
        <w:szCs w:val="16"/>
      </w:rPr>
      <w:t>, 2022]</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79C3" w14:textId="5282FD66" w:rsidR="00CD073D" w:rsidRPr="003861EE" w:rsidRDefault="00CD073D" w:rsidP="0088146C">
    <w:pPr>
      <w:pStyle w:val="Footer"/>
    </w:pPr>
    <w:r w:rsidRPr="003861EE">
      <w:tab/>
      <w:t>X</w:t>
    </w:r>
    <w:r>
      <w:t>IV</w:t>
    </w:r>
    <w:r w:rsidRPr="003861EE">
      <w:t xml:space="preserve">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5B8DEF5D" w14:textId="2405AE22" w:rsidR="00CD073D"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D5FF" w14:textId="77777777" w:rsidR="008874B9" w:rsidRPr="002E16FA" w:rsidRDefault="008874B9" w:rsidP="005B2E97">
    <w:pPr>
      <w:pStyle w:val="Footer"/>
      <w:tabs>
        <w:tab w:val="clear" w:pos="9360"/>
        <w:tab w:val="right" w:pos="10080"/>
      </w:tabs>
      <w:spacing w:before="120"/>
      <w:jc w:val="center"/>
    </w:pPr>
    <w:r w:rsidRPr="002E16FA">
      <w:t xml:space="preserve">XIII - </w:t>
    </w:r>
    <w:bookmarkStart w:id="1001" w:name="DocXTextRef479"/>
    <w:r>
      <w:t>3</w:t>
    </w:r>
    <w:bookmarkEnd w:id="1001"/>
  </w:p>
  <w:p w14:paraId="109294D5" w14:textId="33B7A526" w:rsidR="008874B9" w:rsidRDefault="0053297A" w:rsidP="0053297A">
    <w:pPr>
      <w:pStyle w:val="Footer"/>
      <w:tabs>
        <w:tab w:val="clear" w:pos="9360"/>
        <w:tab w:val="right" w:pos="10080"/>
      </w:tabs>
      <w:spacing w:before="120"/>
    </w:pPr>
    <w:r>
      <w:rPr>
        <w:sz w:val="16"/>
        <w:szCs w:val="16"/>
      </w:rPr>
      <w:t xml:space="preserve">PG&amp;E 2022 CPE Local Resource Adequacy RFO - </w:t>
    </w:r>
    <w:r w:rsidRPr="000A32B6">
      <w:rPr>
        <w:sz w:val="16"/>
        <w:szCs w:val="16"/>
      </w:rPr>
      <w:t>Resource Adequacy Agreement for Non-Owner of New Resource</w:t>
    </w:r>
    <w:r>
      <w:rPr>
        <w:sz w:val="16"/>
        <w:szCs w:val="16"/>
      </w:rPr>
      <w:t xml:space="preserve"> [</w:t>
    </w:r>
    <w:r w:rsidR="004A364C">
      <w:rPr>
        <w:sz w:val="16"/>
        <w:szCs w:val="16"/>
      </w:rPr>
      <w:t>July</w:t>
    </w:r>
    <w:r>
      <w:rPr>
        <w:sz w:val="16"/>
        <w:szCs w:val="16"/>
      </w:rPr>
      <w:t>, 2022]</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BBDE" w14:textId="5DD73E50" w:rsidR="00CD073D" w:rsidRPr="003861EE" w:rsidRDefault="00CD073D" w:rsidP="0088146C">
    <w:pPr>
      <w:pStyle w:val="Footer"/>
    </w:pPr>
    <w:r w:rsidRPr="003861EE">
      <w:tab/>
      <w:t>X</w:t>
    </w:r>
    <w:r>
      <w:t>V</w:t>
    </w:r>
    <w:r w:rsidRPr="003861EE">
      <w:t xml:space="preserve">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3BFF6010" w14:textId="653C7D5C" w:rsidR="00CD073D"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509" w14:textId="77777777" w:rsidR="008874B9" w:rsidRPr="002E16FA" w:rsidRDefault="008874B9" w:rsidP="005B2E97">
    <w:pPr>
      <w:pStyle w:val="Footer"/>
      <w:tabs>
        <w:tab w:val="clear" w:pos="9360"/>
        <w:tab w:val="right" w:pos="10080"/>
      </w:tabs>
      <w:spacing w:before="120"/>
      <w:jc w:val="center"/>
    </w:pPr>
    <w:r w:rsidRPr="002E16FA">
      <w:t xml:space="preserve">XIII - </w:t>
    </w:r>
    <w:bookmarkStart w:id="3" w:name="DocXTextRef2"/>
    <w:r>
      <w:t>2</w:t>
    </w:r>
    <w:bookmarkEnd w:id="3"/>
  </w:p>
  <w:p w14:paraId="6C8277F6" w14:textId="77777777" w:rsidR="008874B9" w:rsidRPr="003861EE" w:rsidRDefault="008874B9" w:rsidP="00BD5E67">
    <w:pPr>
      <w:pStyle w:val="Footer"/>
      <w:tabs>
        <w:tab w:val="clear" w:pos="9360"/>
        <w:tab w:val="right" w:pos="10080"/>
      </w:tabs>
      <w:spacing w:before="120"/>
      <w:jc w:val="right"/>
      <w:rPr>
        <w:sz w:val="16"/>
        <w:szCs w:val="16"/>
      </w:rPr>
    </w:pPr>
    <w:r>
      <w:rPr>
        <w:sz w:val="16"/>
        <w:szCs w:val="16"/>
      </w:rPr>
      <w:t xml:space="preserve">PG&amp;E 2020 System Reliability Solicitation Phase </w:t>
    </w:r>
    <w:bookmarkStart w:id="4" w:name="DocXTextRef3"/>
    <w:r>
      <w:rPr>
        <w:sz w:val="16"/>
        <w:szCs w:val="16"/>
      </w:rPr>
      <w:t>2</w:t>
    </w:r>
    <w:bookmarkEnd w:id="4"/>
    <w:r>
      <w:rPr>
        <w:sz w:val="16"/>
        <w:szCs w:val="16"/>
      </w:rPr>
      <w:t xml:space="preserve"> - Long Term Resource Adequacy Agreement Form with Energy Settlement; NOVEMBER 2020</w:t>
    </w:r>
  </w:p>
  <w:p w14:paraId="64411592" w14:textId="77777777" w:rsidR="008874B9" w:rsidRDefault="008874B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4770" w14:textId="2427CBBA" w:rsidR="009219B2" w:rsidRDefault="009219B2" w:rsidP="00664B3C">
    <w:pPr>
      <w:pStyle w:val="Footer"/>
      <w:tabs>
        <w:tab w:val="clear" w:pos="9360"/>
        <w:tab w:val="right" w:pos="10080"/>
      </w:tabs>
      <w:spacing w:before="120"/>
      <w:rPr>
        <w:sz w:val="16"/>
        <w:szCs w:val="16"/>
      </w:rPr>
    </w:pPr>
    <w:r>
      <w:tab/>
    </w:r>
    <w:r w:rsidRPr="003861EE">
      <w:t>X</w:t>
    </w:r>
    <w:r>
      <w:t>V</w:t>
    </w:r>
    <w:r w:rsidRPr="003861EE">
      <w:t xml:space="preserve"> - </w:t>
    </w:r>
    <w:r w:rsidRPr="003861EE">
      <w:fldChar w:fldCharType="begin"/>
    </w:r>
    <w:r w:rsidRPr="003861EE">
      <w:instrText xml:space="preserve"> PAGE   \* MERGEFORMAT </w:instrText>
    </w:r>
    <w:r w:rsidRPr="003861EE">
      <w:fldChar w:fldCharType="separate"/>
    </w:r>
    <w:r>
      <w:t>2</w:t>
    </w:r>
    <w:r w:rsidRPr="003861EE">
      <w:rPr>
        <w:noProof/>
      </w:rPr>
      <w:fldChar w:fldCharType="end"/>
    </w:r>
  </w:p>
  <w:p w14:paraId="2EE73A4A" w14:textId="2F358A9A" w:rsidR="00563EE0" w:rsidRDefault="00664B3C" w:rsidP="00550930">
    <w:pPr>
      <w:pStyle w:val="Footer"/>
      <w:tabs>
        <w:tab w:val="clear" w:pos="9360"/>
        <w:tab w:val="right" w:pos="10080"/>
      </w:tabs>
      <w:spacing w:before="120"/>
      <w:rPr>
        <w:sz w:val="16"/>
        <w:szCs w:val="16"/>
      </w:rPr>
    </w:pPr>
    <w:r>
      <w:rPr>
        <w:sz w:val="16"/>
        <w:szCs w:val="16"/>
      </w:rPr>
      <w:t xml:space="preserve">PG&amp;E 2022 CPE Local Resource Adequacy RFO - Resource Adequacy Agreement Form (Non-Owner New Resource) </w:t>
    </w:r>
    <w:r w:rsidR="00550930">
      <w:rPr>
        <w:sz w:val="16"/>
        <w:szCs w:val="16"/>
      </w:rPr>
      <w:t>[</w:t>
    </w:r>
    <w:r w:rsidR="004A364C">
      <w:rPr>
        <w:sz w:val="16"/>
        <w:szCs w:val="16"/>
      </w:rPr>
      <w:t>July</w:t>
    </w:r>
    <w:r w:rsidR="00550930">
      <w:rPr>
        <w:sz w:val="16"/>
        <w:szCs w:val="16"/>
      </w:rPr>
      <w:t xml:space="preserve"> 4, 2022]</w:t>
    </w:r>
  </w:p>
  <w:p w14:paraId="51E34932" w14:textId="066B7137" w:rsidR="008874B9" w:rsidRPr="00962F23" w:rsidRDefault="00563EE0" w:rsidP="00563EE0">
    <w:pPr>
      <w:pStyle w:val="Footer"/>
      <w:tabs>
        <w:tab w:val="clear" w:pos="9360"/>
        <w:tab w:val="right" w:pos="10080"/>
      </w:tabs>
      <w:spacing w:before="120"/>
      <w:jc w:val="right"/>
    </w:pPr>
    <w:r>
      <w:rPr>
        <w:sz w:val="16"/>
      </w:rPr>
      <w:fldChar w:fldCharType="begin"/>
    </w:r>
    <w:r>
      <w:rPr>
        <w:sz w:val="16"/>
      </w:rPr>
      <w:instrText xml:space="preserve"> </w:instrText>
    </w:r>
    <w:r w:rsidRPr="00563EE0">
      <w:rPr>
        <w:sz w:val="16"/>
      </w:rPr>
      <w:instrText>IF "</w:instrText>
    </w:r>
    <w:r w:rsidRPr="00563EE0">
      <w:rPr>
        <w:sz w:val="16"/>
      </w:rPr>
      <w:fldChar w:fldCharType="begin"/>
    </w:r>
    <w:r w:rsidRPr="00563EE0">
      <w:rPr>
        <w:sz w:val="16"/>
      </w:rPr>
      <w:instrText xml:space="preserve"> DOCVARIABLE "SWDocIDLocation" </w:instrText>
    </w:r>
    <w:r w:rsidRPr="00563EE0">
      <w:rPr>
        <w:sz w:val="16"/>
      </w:rPr>
      <w:fldChar w:fldCharType="separate"/>
    </w:r>
    <w:r w:rsidR="00581712">
      <w:rPr>
        <w:sz w:val="16"/>
      </w:rPr>
      <w:instrText>1</w:instrText>
    </w:r>
    <w:r w:rsidRPr="00563EE0">
      <w:rPr>
        <w:sz w:val="16"/>
      </w:rPr>
      <w:fldChar w:fldCharType="end"/>
    </w:r>
    <w:r w:rsidRPr="00563EE0">
      <w:rPr>
        <w:sz w:val="16"/>
      </w:rPr>
      <w:instrText>" = "1" "</w:instrText>
    </w:r>
    <w:r w:rsidRPr="00563EE0">
      <w:rPr>
        <w:sz w:val="16"/>
      </w:rPr>
      <w:fldChar w:fldCharType="begin"/>
    </w:r>
    <w:r w:rsidRPr="00563EE0">
      <w:rPr>
        <w:sz w:val="16"/>
      </w:rPr>
      <w:instrText xml:space="preserve"> DOCPROPERTY "SWDocID" </w:instrText>
    </w:r>
    <w:r w:rsidRPr="00563EE0">
      <w:rPr>
        <w:sz w:val="16"/>
      </w:rPr>
      <w:fldChar w:fldCharType="separate"/>
    </w:r>
    <w:r w:rsidR="00581712">
      <w:rPr>
        <w:sz w:val="16"/>
      </w:rPr>
      <w:instrText>4884-0267-9579.v2</w:instrText>
    </w:r>
    <w:r w:rsidRPr="00563EE0">
      <w:rPr>
        <w:sz w:val="16"/>
      </w:rPr>
      <w:fldChar w:fldCharType="end"/>
    </w:r>
    <w:r w:rsidRPr="00563EE0">
      <w:rPr>
        <w:sz w:val="16"/>
      </w:rPr>
      <w:instrText>" ""</w:instrText>
    </w:r>
    <w:r>
      <w:rPr>
        <w:sz w:val="16"/>
      </w:rPr>
      <w:instrText xml:space="preserve"> </w:instrText>
    </w:r>
    <w:r>
      <w:rPr>
        <w:sz w:val="16"/>
      </w:rPr>
      <w:fldChar w:fldCharType="separate"/>
    </w:r>
    <w:r w:rsidR="00581712">
      <w:rPr>
        <w:noProof/>
        <w:sz w:val="16"/>
      </w:rPr>
      <w:t>4884-0267-9579.v2</w:t>
    </w:r>
    <w:r>
      <w:rPr>
        <w:sz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DFC8" w14:textId="77777777" w:rsidR="004F11C0" w:rsidRDefault="00045CB0" w:rsidP="00045CB0">
    <w:pPr>
      <w:pStyle w:val="Footer"/>
      <w:jc w:val="center"/>
      <w:rPr>
        <w:szCs w:val="24"/>
      </w:rPr>
    </w:pPr>
    <w:r>
      <w:t xml:space="preserve">XVII </w:t>
    </w:r>
    <w:r w:rsidR="004F11C0">
      <w:rPr>
        <w:szCs w:val="24"/>
      </w:rPr>
      <w:t>-</w:t>
    </w:r>
  </w:p>
  <w:sdt>
    <w:sdtPr>
      <w:id w:val="-1915388618"/>
      <w:docPartObj>
        <w:docPartGallery w:val="Page Numbers (Bottom of Page)"/>
        <w:docPartUnique/>
      </w:docPartObj>
    </w:sdtPr>
    <w:sdtEndPr>
      <w:rPr>
        <w:noProof/>
      </w:rPr>
    </w:sdtEndPr>
    <w:sdtContent>
      <w:p w14:paraId="0C9D74FD" w14:textId="02F8C0AE" w:rsidR="001F27F4" w:rsidRDefault="004F11C0" w:rsidP="004F11C0">
        <w:pPr>
          <w:pStyle w:val="Footer"/>
          <w:tabs>
            <w:tab w:val="left" w:pos="6840"/>
          </w:tabs>
        </w:pPr>
        <w:r>
          <w:tab/>
        </w:r>
        <w:r>
          <w:tab/>
        </w:r>
      </w:p>
      <w:p w14:paraId="712C31FA" w14:textId="3124204E" w:rsidR="001F27F4" w:rsidRDefault="003676EB" w:rsidP="003676EB">
        <w:pPr>
          <w:pStyle w:val="Footer"/>
          <w:tabs>
            <w:tab w:val="clear" w:pos="9360"/>
            <w:tab w:val="right" w:pos="10080"/>
          </w:tabs>
          <w:spacing w:before="120"/>
        </w:pPr>
        <w:r>
          <w:rPr>
            <w:sz w:val="16"/>
          </w:rPr>
          <w:fldChar w:fldCharType="begin"/>
        </w:r>
        <w:r>
          <w:rPr>
            <w:sz w:val="16"/>
          </w:rPr>
          <w:instrText xml:space="preserve"> </w:instrText>
        </w:r>
        <w:r w:rsidRPr="00F018C1">
          <w:rPr>
            <w:sz w:val="16"/>
          </w:rPr>
          <w:instrText>IF "</w:instrText>
        </w:r>
        <w:r w:rsidRPr="00F018C1">
          <w:rPr>
            <w:sz w:val="16"/>
          </w:rPr>
          <w:fldChar w:fldCharType="begin"/>
        </w:r>
        <w:r w:rsidRPr="00F018C1">
          <w:rPr>
            <w:sz w:val="16"/>
          </w:rPr>
          <w:instrText xml:space="preserve"> DOCVARIABLE "SWDocIDLocation" </w:instrText>
        </w:r>
        <w:r w:rsidRPr="00F018C1">
          <w:rPr>
            <w:sz w:val="16"/>
          </w:rPr>
          <w:fldChar w:fldCharType="separate"/>
        </w:r>
        <w:r>
          <w:rPr>
            <w:sz w:val="16"/>
          </w:rPr>
          <w:instrText>1</w:instrText>
        </w:r>
        <w:r w:rsidRPr="00F018C1">
          <w:rPr>
            <w:sz w:val="16"/>
          </w:rPr>
          <w:fldChar w:fldCharType="end"/>
        </w:r>
        <w:r w:rsidRPr="00F018C1">
          <w:rPr>
            <w:sz w:val="16"/>
          </w:rPr>
          <w:instrText>" = "1" "</w:instrText>
        </w:r>
        <w:r w:rsidRPr="00F018C1">
          <w:rPr>
            <w:sz w:val="16"/>
          </w:rPr>
          <w:fldChar w:fldCharType="begin"/>
        </w:r>
        <w:r w:rsidRPr="00F018C1">
          <w:rPr>
            <w:sz w:val="16"/>
          </w:rPr>
          <w:instrText xml:space="preserve"> DOCPROPERTY "SWDocID" </w:instrText>
        </w:r>
        <w:r w:rsidRPr="00F018C1">
          <w:rPr>
            <w:sz w:val="16"/>
          </w:rPr>
          <w:fldChar w:fldCharType="separate"/>
        </w:r>
        <w:r>
          <w:rPr>
            <w:sz w:val="16"/>
          </w:rPr>
          <w:instrText>4855-0691-6391.v2</w:instrText>
        </w:r>
        <w:r w:rsidRPr="00F018C1">
          <w:rPr>
            <w:sz w:val="16"/>
          </w:rPr>
          <w:fldChar w:fldCharType="end"/>
        </w:r>
        <w:r w:rsidRPr="00F018C1">
          <w:rPr>
            <w:sz w:val="16"/>
          </w:rPr>
          <w:instrText>" ""</w:instrText>
        </w:r>
        <w:r>
          <w:rPr>
            <w:sz w:val="16"/>
          </w:rPr>
          <w:instrText xml:space="preserve"> </w:instrText>
        </w:r>
        <w:r>
          <w:rPr>
            <w:sz w:val="16"/>
          </w:rPr>
          <w:fldChar w:fldCharType="separate"/>
        </w: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r>
          <w:rPr>
            <w:sz w:val="16"/>
          </w:rPr>
          <w:fldChar w:fldCharType="end"/>
        </w:r>
      </w:p>
    </w:sdtContent>
  </w:sdt>
  <w:p w14:paraId="0E1EECA3" w14:textId="18F103D1" w:rsidR="008874B9" w:rsidRPr="00664B3C" w:rsidRDefault="008874B9" w:rsidP="001F27F4">
    <w:pPr>
      <w:pStyle w:val="Footer"/>
      <w:tabs>
        <w:tab w:val="clear" w:pos="9360"/>
        <w:tab w:val="right" w:pos="10080"/>
      </w:tabs>
      <w:spacing w:before="120"/>
      <w:rPr>
        <w:sz w:val="16"/>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BB83" w14:textId="5E8AEA80" w:rsidR="002739AB" w:rsidRDefault="002739AB" w:rsidP="00045CB0">
    <w:pPr>
      <w:pStyle w:val="Footer"/>
      <w:tabs>
        <w:tab w:val="clear" w:pos="9360"/>
        <w:tab w:val="right" w:pos="10080"/>
      </w:tabs>
      <w:spacing w:before="120"/>
      <w:jc w:val="center"/>
      <w:rPr>
        <w:sz w:val="16"/>
        <w:szCs w:val="16"/>
      </w:rPr>
    </w:pPr>
    <w:r w:rsidRPr="003861EE">
      <w:t>X</w:t>
    </w:r>
    <w:r>
      <w:t>VI</w:t>
    </w:r>
    <w:r w:rsidRPr="003861EE">
      <w:t xml:space="preserve"> - </w:t>
    </w:r>
    <w:r w:rsidRPr="003861EE">
      <w:fldChar w:fldCharType="begin"/>
    </w:r>
    <w:r w:rsidRPr="003861EE">
      <w:instrText xml:space="preserve"> PAGE   \* MERGEFORMAT </w:instrText>
    </w:r>
    <w:r w:rsidRPr="003861EE">
      <w:fldChar w:fldCharType="separate"/>
    </w:r>
    <w:r>
      <w:t>2</w:t>
    </w:r>
    <w:r w:rsidRPr="003861EE">
      <w:rPr>
        <w:noProof/>
      </w:rPr>
      <w:fldChar w:fldCharType="end"/>
    </w:r>
  </w:p>
  <w:p w14:paraId="675A704B" w14:textId="24F53EDF" w:rsidR="008874B9" w:rsidRPr="00767740" w:rsidRDefault="008D609F" w:rsidP="00045CB0">
    <w:pPr>
      <w:pStyle w:val="Footer"/>
      <w:tabs>
        <w:tab w:val="clear" w:pos="9360"/>
        <w:tab w:val="right" w:pos="10080"/>
      </w:tabs>
      <w:spacing w:before="120"/>
      <w:jc w:val="cente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CCF" w14:textId="081F5090" w:rsidR="00CD073D" w:rsidRDefault="00CD073D" w:rsidP="00664B3C">
    <w:pPr>
      <w:pStyle w:val="Footer"/>
      <w:tabs>
        <w:tab w:val="clear" w:pos="9360"/>
        <w:tab w:val="right" w:pos="10080"/>
      </w:tabs>
      <w:spacing w:before="120"/>
      <w:rPr>
        <w:sz w:val="16"/>
        <w:szCs w:val="16"/>
      </w:rPr>
    </w:pPr>
    <w:r>
      <w:tab/>
    </w:r>
    <w:r w:rsidRPr="003861EE">
      <w:t>X</w:t>
    </w:r>
    <w:r>
      <w:t>VII</w:t>
    </w:r>
    <w:r w:rsidRPr="003861EE">
      <w:t xml:space="preserve"> - </w:t>
    </w:r>
    <w:r w:rsidRPr="003861EE">
      <w:fldChar w:fldCharType="begin"/>
    </w:r>
    <w:r w:rsidRPr="003861EE">
      <w:instrText xml:space="preserve"> PAGE   \* MERGEFORMAT </w:instrText>
    </w:r>
    <w:r w:rsidRPr="003861EE">
      <w:fldChar w:fldCharType="separate"/>
    </w:r>
    <w:r>
      <w:t>2</w:t>
    </w:r>
    <w:r w:rsidRPr="003861EE">
      <w:rPr>
        <w:noProof/>
      </w:rPr>
      <w:fldChar w:fldCharType="end"/>
    </w:r>
  </w:p>
  <w:p w14:paraId="55401E21" w14:textId="7BF1927F" w:rsidR="00CD073D" w:rsidRPr="00767740" w:rsidRDefault="008D609F" w:rsidP="008D609F">
    <w:pPr>
      <w:pStyle w:val="Footer"/>
      <w:tabs>
        <w:tab w:val="clear" w:pos="9360"/>
        <w:tab w:val="right" w:pos="10080"/>
      </w:tabs>
      <w:spacing w:before="120"/>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C9AE" w14:textId="65714FA6" w:rsidR="004F11C0" w:rsidRDefault="004F11C0" w:rsidP="004F11C0">
    <w:pPr>
      <w:pStyle w:val="Footer"/>
      <w:tabs>
        <w:tab w:val="left" w:pos="6840"/>
      </w:tabs>
      <w:jc w:val="center"/>
      <w:rPr>
        <w:noProof/>
      </w:rPr>
    </w:pPr>
    <w:r w:rsidRPr="003861EE">
      <w:t>X</w:t>
    </w:r>
    <w:r w:rsidR="00FD589A">
      <w:t>VIII</w:t>
    </w:r>
    <w:r w:rsidRPr="003861EE">
      <w:t xml:space="preserve"> - </w:t>
    </w:r>
    <w:r w:rsidRPr="003861EE">
      <w:fldChar w:fldCharType="begin"/>
    </w:r>
    <w:r w:rsidRPr="003861EE">
      <w:instrText xml:space="preserve"> PAGE   \* MERGEFORMAT </w:instrText>
    </w:r>
    <w:r w:rsidRPr="003861EE">
      <w:fldChar w:fldCharType="separate"/>
    </w:r>
    <w:r>
      <w:t>1</w:t>
    </w:r>
    <w:r w:rsidRPr="003861EE">
      <w:rPr>
        <w:noProof/>
      </w:rPr>
      <w:fldChar w:fldCharType="end"/>
    </w:r>
  </w:p>
  <w:sdt>
    <w:sdtPr>
      <w:id w:val="144179717"/>
      <w:docPartObj>
        <w:docPartGallery w:val="Page Numbers (Bottom of Page)"/>
        <w:docPartUnique/>
      </w:docPartObj>
    </w:sdtPr>
    <w:sdtEndPr>
      <w:rPr>
        <w:noProof/>
      </w:rPr>
    </w:sdtEndPr>
    <w:sdtContent>
      <w:p w14:paraId="1EC404D4" w14:textId="3690ED9A" w:rsidR="004F11C0" w:rsidRDefault="004F11C0" w:rsidP="004F11C0">
        <w:pPr>
          <w:pStyle w:val="Footer"/>
          <w:tabs>
            <w:tab w:val="left" w:pos="6840"/>
          </w:tabs>
          <w:jc w:val="center"/>
        </w:pPr>
        <w:r>
          <w:rPr>
            <w:sz w:val="16"/>
          </w:rPr>
          <w:fldChar w:fldCharType="begin"/>
        </w:r>
        <w:r>
          <w:rPr>
            <w:sz w:val="16"/>
          </w:rPr>
          <w:instrText xml:space="preserve"> </w:instrText>
        </w:r>
        <w:r w:rsidRPr="00F018C1">
          <w:rPr>
            <w:sz w:val="16"/>
          </w:rPr>
          <w:instrText>IF "</w:instrText>
        </w:r>
        <w:r w:rsidRPr="00F018C1">
          <w:rPr>
            <w:sz w:val="16"/>
          </w:rPr>
          <w:fldChar w:fldCharType="begin"/>
        </w:r>
        <w:r w:rsidRPr="00F018C1">
          <w:rPr>
            <w:sz w:val="16"/>
          </w:rPr>
          <w:instrText xml:space="preserve"> DOCVARIABLE "SWDocIDLocation" </w:instrText>
        </w:r>
        <w:r w:rsidRPr="00F018C1">
          <w:rPr>
            <w:sz w:val="16"/>
          </w:rPr>
          <w:fldChar w:fldCharType="separate"/>
        </w:r>
        <w:r>
          <w:rPr>
            <w:sz w:val="16"/>
          </w:rPr>
          <w:instrText>1</w:instrText>
        </w:r>
        <w:r w:rsidRPr="00F018C1">
          <w:rPr>
            <w:sz w:val="16"/>
          </w:rPr>
          <w:fldChar w:fldCharType="end"/>
        </w:r>
        <w:r w:rsidRPr="00F018C1">
          <w:rPr>
            <w:sz w:val="16"/>
          </w:rPr>
          <w:instrText>" = "1" "</w:instrText>
        </w:r>
        <w:r w:rsidRPr="00F018C1">
          <w:rPr>
            <w:sz w:val="16"/>
          </w:rPr>
          <w:fldChar w:fldCharType="begin"/>
        </w:r>
        <w:r w:rsidRPr="00F018C1">
          <w:rPr>
            <w:sz w:val="16"/>
          </w:rPr>
          <w:instrText xml:space="preserve"> DOCPROPERTY "SWDocID" </w:instrText>
        </w:r>
        <w:r w:rsidRPr="00F018C1">
          <w:rPr>
            <w:sz w:val="16"/>
          </w:rPr>
          <w:fldChar w:fldCharType="separate"/>
        </w:r>
        <w:r>
          <w:rPr>
            <w:sz w:val="16"/>
          </w:rPr>
          <w:instrText>4855-0691-6391.v2</w:instrText>
        </w:r>
        <w:r w:rsidRPr="00F018C1">
          <w:rPr>
            <w:sz w:val="16"/>
          </w:rPr>
          <w:fldChar w:fldCharType="end"/>
        </w:r>
        <w:r w:rsidRPr="00F018C1">
          <w:rPr>
            <w:sz w:val="16"/>
          </w:rPr>
          <w:instrText>" ""</w:instrText>
        </w:r>
        <w:r>
          <w:rPr>
            <w:sz w:val="16"/>
          </w:rPr>
          <w:instrText xml:space="preserve"> </w:instrText>
        </w:r>
        <w:r>
          <w:rPr>
            <w:sz w:val="16"/>
          </w:rPr>
          <w:fldChar w:fldCharType="separate"/>
        </w: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r>
          <w:rPr>
            <w:sz w:val="16"/>
          </w:rPr>
          <w:fldChar w:fldCharType="end"/>
        </w:r>
      </w:p>
    </w:sdtContent>
  </w:sdt>
  <w:p w14:paraId="60FA0D75" w14:textId="77777777" w:rsidR="004F11C0" w:rsidRPr="00664B3C" w:rsidRDefault="004F11C0" w:rsidP="001F27F4">
    <w:pPr>
      <w:pStyle w:val="Footer"/>
      <w:tabs>
        <w:tab w:val="clear" w:pos="9360"/>
        <w:tab w:val="right" w:pos="10080"/>
      </w:tabs>
      <w:spacing w:before="120"/>
      <w:rPr>
        <w:sz w:val="16"/>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784" w14:textId="77777777" w:rsidR="00A05DA9" w:rsidRDefault="00A05DA9" w:rsidP="00664B3C">
    <w:pPr>
      <w:pStyle w:val="Footer"/>
      <w:tabs>
        <w:tab w:val="clear" w:pos="9360"/>
        <w:tab w:val="right" w:pos="10080"/>
      </w:tabs>
      <w:spacing w:before="120"/>
      <w:rPr>
        <w:sz w:val="16"/>
        <w:szCs w:val="16"/>
      </w:rPr>
    </w:pPr>
    <w:r>
      <w:tab/>
    </w:r>
    <w:r w:rsidRPr="003861EE">
      <w:t>X</w:t>
    </w:r>
    <w:r>
      <w:t>VIII</w:t>
    </w:r>
    <w:r w:rsidRPr="003861EE">
      <w:t xml:space="preserve"> - </w:t>
    </w:r>
    <w:r w:rsidRPr="003861EE">
      <w:fldChar w:fldCharType="begin"/>
    </w:r>
    <w:r w:rsidRPr="003861EE">
      <w:instrText xml:space="preserve"> PAGE   \* MERGEFORMAT </w:instrText>
    </w:r>
    <w:r w:rsidRPr="003861EE">
      <w:fldChar w:fldCharType="separate"/>
    </w:r>
    <w:r>
      <w:t>2</w:t>
    </w:r>
    <w:r w:rsidRPr="003861EE">
      <w:rPr>
        <w:noProof/>
      </w:rPr>
      <w:fldChar w:fldCharType="end"/>
    </w:r>
  </w:p>
  <w:p w14:paraId="099083DC" w14:textId="26AC37FC" w:rsidR="00A05DA9" w:rsidRPr="00767740" w:rsidRDefault="00A05DA9" w:rsidP="00CD073D">
    <w:pPr>
      <w:pStyle w:val="Footer"/>
      <w:tabs>
        <w:tab w:val="clear" w:pos="9360"/>
        <w:tab w:val="right" w:pos="10080"/>
      </w:tabs>
      <w:spacing w:before="120"/>
    </w:pPr>
    <w:r>
      <w:rPr>
        <w:sz w:val="16"/>
        <w:szCs w:val="16"/>
      </w:rPr>
      <w:t xml:space="preserve">PG&amp;E 2022 CPE Local Resource Adequacy RFO - </w:t>
    </w:r>
    <w:r w:rsidRPr="000A32B6">
      <w:rPr>
        <w:sz w:val="16"/>
        <w:szCs w:val="16"/>
      </w:rPr>
      <w:t>Resource Adequacy Agreement for Non-Owner of New Resource</w:t>
    </w:r>
    <w:r>
      <w:rPr>
        <w:sz w:val="16"/>
        <w:szCs w:val="16"/>
      </w:rPr>
      <w:t xml:space="preserve"> [</w:t>
    </w:r>
    <w:r w:rsidR="004A364C">
      <w:rPr>
        <w:sz w:val="16"/>
        <w:szCs w:val="16"/>
      </w:rPr>
      <w:t>July</w:t>
    </w:r>
    <w:r>
      <w:rPr>
        <w:sz w:val="16"/>
        <w:szCs w:val="16"/>
      </w:rPr>
      <w:t>, 2022]</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F26C" w14:textId="77777777" w:rsidR="00FD589A" w:rsidRDefault="00FD589A" w:rsidP="004F11C0">
    <w:pPr>
      <w:pStyle w:val="Footer"/>
      <w:tabs>
        <w:tab w:val="left" w:pos="6840"/>
      </w:tabs>
      <w:jc w:val="center"/>
      <w:rPr>
        <w:noProof/>
      </w:rPr>
    </w:pPr>
    <w:r w:rsidRPr="003861EE">
      <w:t>X</w:t>
    </w:r>
    <w:r>
      <w:t>I</w:t>
    </w:r>
    <w:r w:rsidRPr="003861EE">
      <w:t xml:space="preserve"> - </w:t>
    </w:r>
    <w:r w:rsidRPr="003861EE">
      <w:fldChar w:fldCharType="begin"/>
    </w:r>
    <w:r w:rsidRPr="003861EE">
      <w:instrText xml:space="preserve"> PAGE   \* MERGEFORMAT </w:instrText>
    </w:r>
    <w:r w:rsidRPr="003861EE">
      <w:fldChar w:fldCharType="separate"/>
    </w:r>
    <w:r>
      <w:t>1</w:t>
    </w:r>
    <w:r w:rsidRPr="003861EE">
      <w:rPr>
        <w:noProof/>
      </w:rPr>
      <w:fldChar w:fldCharType="end"/>
    </w:r>
  </w:p>
  <w:sdt>
    <w:sdtPr>
      <w:id w:val="1465854651"/>
      <w:docPartObj>
        <w:docPartGallery w:val="Page Numbers (Bottom of Page)"/>
        <w:docPartUnique/>
      </w:docPartObj>
    </w:sdtPr>
    <w:sdtEndPr>
      <w:rPr>
        <w:noProof/>
      </w:rPr>
    </w:sdtEndPr>
    <w:sdtContent>
      <w:p w14:paraId="4FFB0AD3" w14:textId="77777777" w:rsidR="00FD589A" w:rsidRDefault="00FD589A" w:rsidP="004F11C0">
        <w:pPr>
          <w:pStyle w:val="Footer"/>
          <w:tabs>
            <w:tab w:val="left" w:pos="6840"/>
          </w:tabs>
          <w:jc w:val="center"/>
        </w:pPr>
        <w:r>
          <w:rPr>
            <w:sz w:val="16"/>
          </w:rPr>
          <w:fldChar w:fldCharType="begin"/>
        </w:r>
        <w:r>
          <w:rPr>
            <w:sz w:val="16"/>
          </w:rPr>
          <w:instrText xml:space="preserve"> </w:instrText>
        </w:r>
        <w:r w:rsidRPr="00F018C1">
          <w:rPr>
            <w:sz w:val="16"/>
          </w:rPr>
          <w:instrText>IF "</w:instrText>
        </w:r>
        <w:r w:rsidRPr="00F018C1">
          <w:rPr>
            <w:sz w:val="16"/>
          </w:rPr>
          <w:fldChar w:fldCharType="begin"/>
        </w:r>
        <w:r w:rsidRPr="00F018C1">
          <w:rPr>
            <w:sz w:val="16"/>
          </w:rPr>
          <w:instrText xml:space="preserve"> DOCVARIABLE "SWDocIDLocation" </w:instrText>
        </w:r>
        <w:r w:rsidRPr="00F018C1">
          <w:rPr>
            <w:sz w:val="16"/>
          </w:rPr>
          <w:fldChar w:fldCharType="separate"/>
        </w:r>
        <w:r>
          <w:rPr>
            <w:sz w:val="16"/>
          </w:rPr>
          <w:instrText>1</w:instrText>
        </w:r>
        <w:r w:rsidRPr="00F018C1">
          <w:rPr>
            <w:sz w:val="16"/>
          </w:rPr>
          <w:fldChar w:fldCharType="end"/>
        </w:r>
        <w:r w:rsidRPr="00F018C1">
          <w:rPr>
            <w:sz w:val="16"/>
          </w:rPr>
          <w:instrText>" = "1" "</w:instrText>
        </w:r>
        <w:r w:rsidRPr="00F018C1">
          <w:rPr>
            <w:sz w:val="16"/>
          </w:rPr>
          <w:fldChar w:fldCharType="begin"/>
        </w:r>
        <w:r w:rsidRPr="00F018C1">
          <w:rPr>
            <w:sz w:val="16"/>
          </w:rPr>
          <w:instrText xml:space="preserve"> DOCPROPERTY "SWDocID" </w:instrText>
        </w:r>
        <w:r w:rsidRPr="00F018C1">
          <w:rPr>
            <w:sz w:val="16"/>
          </w:rPr>
          <w:fldChar w:fldCharType="separate"/>
        </w:r>
        <w:r>
          <w:rPr>
            <w:sz w:val="16"/>
          </w:rPr>
          <w:instrText>4855-0691-6391.v2</w:instrText>
        </w:r>
        <w:r w:rsidRPr="00F018C1">
          <w:rPr>
            <w:sz w:val="16"/>
          </w:rPr>
          <w:fldChar w:fldCharType="end"/>
        </w:r>
        <w:r w:rsidRPr="00F018C1">
          <w:rPr>
            <w:sz w:val="16"/>
          </w:rPr>
          <w:instrText>" ""</w:instrText>
        </w:r>
        <w:r>
          <w:rPr>
            <w:sz w:val="16"/>
          </w:rPr>
          <w:instrText xml:space="preserve"> </w:instrText>
        </w:r>
        <w:r>
          <w:rPr>
            <w:sz w:val="16"/>
          </w:rPr>
          <w:fldChar w:fldCharType="separate"/>
        </w: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r>
          <w:rPr>
            <w:sz w:val="16"/>
          </w:rPr>
          <w:fldChar w:fldCharType="end"/>
        </w:r>
      </w:p>
    </w:sdtContent>
  </w:sdt>
  <w:p w14:paraId="6CDB2893" w14:textId="77777777" w:rsidR="00FD589A" w:rsidRPr="00664B3C" w:rsidRDefault="00FD589A" w:rsidP="001F27F4">
    <w:pPr>
      <w:pStyle w:val="Footer"/>
      <w:tabs>
        <w:tab w:val="clear" w:pos="9360"/>
        <w:tab w:val="right" w:pos="10080"/>
      </w:tabs>
      <w:spacing w:before="120"/>
      <w:rPr>
        <w:sz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2D4" w14:textId="61F1C42A" w:rsidR="00FD589A" w:rsidRDefault="00FD589A" w:rsidP="00F62DCA">
    <w:pPr>
      <w:pStyle w:val="Footer"/>
      <w:tabs>
        <w:tab w:val="left" w:pos="6840"/>
      </w:tabs>
      <w:jc w:val="center"/>
      <w:rPr>
        <w:noProof/>
      </w:rPr>
    </w:pPr>
    <w:r w:rsidRPr="003861EE">
      <w:t>X</w:t>
    </w:r>
    <w:r w:rsidR="00F62DCA">
      <w:t>X</w:t>
    </w:r>
    <w:r w:rsidRPr="003861EE">
      <w:t xml:space="preserve"> - </w:t>
    </w:r>
    <w:r w:rsidRPr="003861EE">
      <w:fldChar w:fldCharType="begin"/>
    </w:r>
    <w:r w:rsidRPr="003861EE">
      <w:instrText xml:space="preserve"> PAGE   \* MERGEFORMAT </w:instrText>
    </w:r>
    <w:r w:rsidRPr="003861EE">
      <w:fldChar w:fldCharType="separate"/>
    </w:r>
    <w:r>
      <w:t>1</w:t>
    </w:r>
    <w:r w:rsidRPr="003861EE">
      <w:rPr>
        <w:noProof/>
      </w:rPr>
      <w:fldChar w:fldCharType="end"/>
    </w:r>
  </w:p>
  <w:p w14:paraId="007F3393" w14:textId="79CDC88D" w:rsidR="008874B9" w:rsidRPr="00767740" w:rsidRDefault="003676EB" w:rsidP="00F62DCA">
    <w:pPr>
      <w:pStyle w:val="Footer"/>
      <w:tabs>
        <w:tab w:val="clear" w:pos="9360"/>
        <w:tab w:val="right" w:pos="10080"/>
      </w:tabs>
      <w:spacing w:before="120"/>
      <w:jc w:val="center"/>
    </w:pPr>
    <w:r>
      <w:rPr>
        <w:sz w:val="16"/>
      </w:rPr>
      <w:fldChar w:fldCharType="begin"/>
    </w:r>
    <w:r>
      <w:rPr>
        <w:sz w:val="16"/>
      </w:rPr>
      <w:instrText xml:space="preserve"> </w:instrText>
    </w:r>
    <w:r w:rsidRPr="00F018C1">
      <w:rPr>
        <w:sz w:val="16"/>
      </w:rPr>
      <w:instrText>IF "</w:instrText>
    </w:r>
    <w:r w:rsidRPr="00F018C1">
      <w:rPr>
        <w:sz w:val="16"/>
      </w:rPr>
      <w:fldChar w:fldCharType="begin"/>
    </w:r>
    <w:r w:rsidRPr="00F018C1">
      <w:rPr>
        <w:sz w:val="16"/>
      </w:rPr>
      <w:instrText xml:space="preserve"> DOCVARIABLE "SWDocIDLocation" </w:instrText>
    </w:r>
    <w:r w:rsidRPr="00F018C1">
      <w:rPr>
        <w:sz w:val="16"/>
      </w:rPr>
      <w:fldChar w:fldCharType="separate"/>
    </w:r>
    <w:r>
      <w:rPr>
        <w:sz w:val="16"/>
      </w:rPr>
      <w:instrText>1</w:instrText>
    </w:r>
    <w:r w:rsidRPr="00F018C1">
      <w:rPr>
        <w:sz w:val="16"/>
      </w:rPr>
      <w:fldChar w:fldCharType="end"/>
    </w:r>
    <w:r w:rsidRPr="00F018C1">
      <w:rPr>
        <w:sz w:val="16"/>
      </w:rPr>
      <w:instrText>" = "1" "</w:instrText>
    </w:r>
    <w:r w:rsidRPr="00F018C1">
      <w:rPr>
        <w:sz w:val="16"/>
      </w:rPr>
      <w:fldChar w:fldCharType="begin"/>
    </w:r>
    <w:r w:rsidRPr="00F018C1">
      <w:rPr>
        <w:sz w:val="16"/>
      </w:rPr>
      <w:instrText xml:space="preserve"> DOCPROPERTY "SWDocID" </w:instrText>
    </w:r>
    <w:r w:rsidRPr="00F018C1">
      <w:rPr>
        <w:sz w:val="16"/>
      </w:rPr>
      <w:fldChar w:fldCharType="separate"/>
    </w:r>
    <w:r>
      <w:rPr>
        <w:sz w:val="16"/>
      </w:rPr>
      <w:instrText>4855-0691-6391.v2</w:instrText>
    </w:r>
    <w:r w:rsidRPr="00F018C1">
      <w:rPr>
        <w:sz w:val="16"/>
      </w:rPr>
      <w:fldChar w:fldCharType="end"/>
    </w:r>
    <w:r w:rsidRPr="00F018C1">
      <w:rPr>
        <w:sz w:val="16"/>
      </w:rPr>
      <w:instrText>" ""</w:instrText>
    </w:r>
    <w:r>
      <w:rPr>
        <w:sz w:val="16"/>
      </w:rPr>
      <w:instrText xml:space="preserve"> </w:instrText>
    </w:r>
    <w:r>
      <w:rPr>
        <w:sz w:val="16"/>
      </w:rPr>
      <w:fldChar w:fldCharType="separate"/>
    </w: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r>
      <w:rPr>
        <w:sz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D05C" w14:textId="47735267" w:rsidR="00F62DCA" w:rsidRDefault="00F62DCA" w:rsidP="00F62DCA">
    <w:pPr>
      <w:pStyle w:val="Footer"/>
      <w:tabs>
        <w:tab w:val="left" w:pos="6840"/>
      </w:tabs>
      <w:jc w:val="center"/>
      <w:rPr>
        <w:noProof/>
      </w:rPr>
    </w:pPr>
    <w:r w:rsidRPr="003861EE">
      <w:t>X</w:t>
    </w:r>
    <w:r>
      <w:t>XI</w:t>
    </w:r>
    <w:r w:rsidRPr="003861EE">
      <w:t xml:space="preserve"> - </w:t>
    </w:r>
    <w:r w:rsidRPr="003861EE">
      <w:fldChar w:fldCharType="begin"/>
    </w:r>
    <w:r w:rsidRPr="003861EE">
      <w:instrText xml:space="preserve"> PAGE   \* MERGEFORMAT </w:instrText>
    </w:r>
    <w:r w:rsidRPr="003861EE">
      <w:fldChar w:fldCharType="separate"/>
    </w:r>
    <w:r>
      <w:t>1</w:t>
    </w:r>
    <w:r w:rsidRPr="003861EE">
      <w:rPr>
        <w:noProof/>
      </w:rPr>
      <w:fldChar w:fldCharType="end"/>
    </w:r>
  </w:p>
  <w:p w14:paraId="6E40A73A" w14:textId="2237CCB4" w:rsidR="008874B9" w:rsidRPr="00F62DCA" w:rsidRDefault="00F62DCA" w:rsidP="00F62DCA">
    <w:pPr>
      <w:pStyle w:val="Footer"/>
      <w:tabs>
        <w:tab w:val="clear" w:pos="9360"/>
        <w:tab w:val="right" w:pos="10080"/>
      </w:tabs>
      <w:spacing w:before="120"/>
      <w:jc w:val="center"/>
    </w:pPr>
    <w:r>
      <w:rPr>
        <w:sz w:val="16"/>
      </w:rPr>
      <w:fldChar w:fldCharType="begin"/>
    </w:r>
    <w:r>
      <w:rPr>
        <w:sz w:val="16"/>
      </w:rPr>
      <w:instrText xml:space="preserve"> </w:instrText>
    </w:r>
    <w:r w:rsidRPr="00F018C1">
      <w:rPr>
        <w:sz w:val="16"/>
      </w:rPr>
      <w:instrText>IF "</w:instrText>
    </w:r>
    <w:r w:rsidRPr="00F018C1">
      <w:rPr>
        <w:sz w:val="16"/>
      </w:rPr>
      <w:fldChar w:fldCharType="begin"/>
    </w:r>
    <w:r w:rsidRPr="00F018C1">
      <w:rPr>
        <w:sz w:val="16"/>
      </w:rPr>
      <w:instrText xml:space="preserve"> DOCVARIABLE "SWDocIDLocation" </w:instrText>
    </w:r>
    <w:r w:rsidRPr="00F018C1">
      <w:rPr>
        <w:sz w:val="16"/>
      </w:rPr>
      <w:fldChar w:fldCharType="separate"/>
    </w:r>
    <w:r>
      <w:rPr>
        <w:sz w:val="16"/>
      </w:rPr>
      <w:instrText>1</w:instrText>
    </w:r>
    <w:r w:rsidRPr="00F018C1">
      <w:rPr>
        <w:sz w:val="16"/>
      </w:rPr>
      <w:fldChar w:fldCharType="end"/>
    </w:r>
    <w:r w:rsidRPr="00F018C1">
      <w:rPr>
        <w:sz w:val="16"/>
      </w:rPr>
      <w:instrText>" = "1" "</w:instrText>
    </w:r>
    <w:r w:rsidRPr="00F018C1">
      <w:rPr>
        <w:sz w:val="16"/>
      </w:rPr>
      <w:fldChar w:fldCharType="begin"/>
    </w:r>
    <w:r w:rsidRPr="00F018C1">
      <w:rPr>
        <w:sz w:val="16"/>
      </w:rPr>
      <w:instrText xml:space="preserve"> DOCPROPERTY "SWDocID" </w:instrText>
    </w:r>
    <w:r w:rsidRPr="00F018C1">
      <w:rPr>
        <w:sz w:val="16"/>
      </w:rPr>
      <w:fldChar w:fldCharType="separate"/>
    </w:r>
    <w:r>
      <w:rPr>
        <w:sz w:val="16"/>
      </w:rPr>
      <w:instrText>4855-0691-6391.v2</w:instrText>
    </w:r>
    <w:r w:rsidRPr="00F018C1">
      <w:rPr>
        <w:sz w:val="16"/>
      </w:rPr>
      <w:fldChar w:fldCharType="end"/>
    </w:r>
    <w:r w:rsidRPr="00F018C1">
      <w:rPr>
        <w:sz w:val="16"/>
      </w:rPr>
      <w:instrText>" ""</w:instrText>
    </w:r>
    <w:r>
      <w:rPr>
        <w:sz w:val="16"/>
      </w:rPr>
      <w:instrText xml:space="preserve"> </w:instrText>
    </w:r>
    <w:r>
      <w:rPr>
        <w:sz w:val="16"/>
      </w:rPr>
      <w:fldChar w:fldCharType="separate"/>
    </w: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r>
      <w:rPr>
        <w:sz w:val="16"/>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065C" w14:textId="737F3D8D" w:rsidR="004E65E3" w:rsidRDefault="004E65E3" w:rsidP="00F62DCA">
    <w:pPr>
      <w:pStyle w:val="Footer"/>
      <w:tabs>
        <w:tab w:val="left" w:pos="6840"/>
      </w:tabs>
      <w:jc w:val="center"/>
      <w:rPr>
        <w:noProof/>
      </w:rPr>
    </w:pPr>
  </w:p>
  <w:p w14:paraId="06FDDAC8" w14:textId="77777777" w:rsidR="004E65E3" w:rsidRPr="00F62DCA" w:rsidRDefault="004E65E3" w:rsidP="00F62DCA">
    <w:pPr>
      <w:pStyle w:val="Footer"/>
      <w:tabs>
        <w:tab w:val="clear" w:pos="9360"/>
        <w:tab w:val="right" w:pos="10080"/>
      </w:tabs>
      <w:spacing w:before="120"/>
      <w:jc w:val="center"/>
    </w:pPr>
    <w:r>
      <w:rPr>
        <w:sz w:val="16"/>
      </w:rPr>
      <w:fldChar w:fldCharType="begin"/>
    </w:r>
    <w:r>
      <w:rPr>
        <w:sz w:val="16"/>
      </w:rPr>
      <w:instrText xml:space="preserve"> </w:instrText>
    </w:r>
    <w:r w:rsidRPr="00F018C1">
      <w:rPr>
        <w:sz w:val="16"/>
      </w:rPr>
      <w:instrText>IF "</w:instrText>
    </w:r>
    <w:r w:rsidRPr="00F018C1">
      <w:rPr>
        <w:sz w:val="16"/>
      </w:rPr>
      <w:fldChar w:fldCharType="begin"/>
    </w:r>
    <w:r w:rsidRPr="00F018C1">
      <w:rPr>
        <w:sz w:val="16"/>
      </w:rPr>
      <w:instrText xml:space="preserve"> DOCVARIABLE "SWDocIDLocation" </w:instrText>
    </w:r>
    <w:r w:rsidRPr="00F018C1">
      <w:rPr>
        <w:sz w:val="16"/>
      </w:rPr>
      <w:fldChar w:fldCharType="separate"/>
    </w:r>
    <w:r>
      <w:rPr>
        <w:sz w:val="16"/>
      </w:rPr>
      <w:instrText>1</w:instrText>
    </w:r>
    <w:r w:rsidRPr="00F018C1">
      <w:rPr>
        <w:sz w:val="16"/>
      </w:rPr>
      <w:fldChar w:fldCharType="end"/>
    </w:r>
    <w:r w:rsidRPr="00F018C1">
      <w:rPr>
        <w:sz w:val="16"/>
      </w:rPr>
      <w:instrText>" = "1" "</w:instrText>
    </w:r>
    <w:r w:rsidRPr="00F018C1">
      <w:rPr>
        <w:sz w:val="16"/>
      </w:rPr>
      <w:fldChar w:fldCharType="begin"/>
    </w:r>
    <w:r w:rsidRPr="00F018C1">
      <w:rPr>
        <w:sz w:val="16"/>
      </w:rPr>
      <w:instrText xml:space="preserve"> DOCPROPERTY "SWDocID" </w:instrText>
    </w:r>
    <w:r w:rsidRPr="00F018C1">
      <w:rPr>
        <w:sz w:val="16"/>
      </w:rPr>
      <w:fldChar w:fldCharType="separate"/>
    </w:r>
    <w:r>
      <w:rPr>
        <w:sz w:val="16"/>
      </w:rPr>
      <w:instrText>4855-0691-6391.v2</w:instrText>
    </w:r>
    <w:r w:rsidRPr="00F018C1">
      <w:rPr>
        <w:sz w:val="16"/>
      </w:rPr>
      <w:fldChar w:fldCharType="end"/>
    </w:r>
    <w:r w:rsidRPr="00F018C1">
      <w:rPr>
        <w:sz w:val="16"/>
      </w:rPr>
      <w:instrText>" ""</w:instrText>
    </w:r>
    <w:r>
      <w:rPr>
        <w:sz w:val="16"/>
      </w:rPr>
      <w:instrText xml:space="preserve"> </w:instrText>
    </w:r>
    <w:r>
      <w:rPr>
        <w:sz w:val="16"/>
      </w:rPr>
      <w:fldChar w:fldCharType="separate"/>
    </w: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C556" w14:textId="255D42A9" w:rsidR="008874B9" w:rsidRPr="003861EE" w:rsidRDefault="008874B9" w:rsidP="0070095F">
    <w:pPr>
      <w:pStyle w:val="Footer"/>
    </w:pPr>
    <w:r w:rsidRPr="003861EE">
      <w:rPr>
        <w:noProof/>
      </w:rPr>
      <w:tab/>
    </w:r>
    <w:r w:rsidRPr="003861EE">
      <w:fldChar w:fldCharType="begin"/>
    </w:r>
    <w:r w:rsidRPr="003861EE">
      <w:instrText xml:space="preserve"> PAGE  \* roman  \* MERGEFORMAT </w:instrText>
    </w:r>
    <w:r w:rsidRPr="003861EE">
      <w:fldChar w:fldCharType="separate"/>
    </w:r>
    <w:r>
      <w:rPr>
        <w:noProof/>
      </w:rPr>
      <w:t>ii</w:t>
    </w:r>
    <w:r w:rsidRPr="003861EE">
      <w:fldChar w:fldCharType="end"/>
    </w:r>
  </w:p>
  <w:p w14:paraId="03274B3C" w14:textId="5C78B5EA" w:rsidR="008874B9" w:rsidRPr="003861EE" w:rsidRDefault="0072186F" w:rsidP="0072186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F1A7" w14:textId="58CA0BCD" w:rsidR="008874B9" w:rsidRPr="003861EE" w:rsidRDefault="008874B9" w:rsidP="0070095F">
    <w:pPr>
      <w:pStyle w:val="Footer"/>
    </w:pPr>
    <w:r w:rsidRPr="003861EE">
      <w:rPr>
        <w:noProof/>
      </w:rPr>
      <w:tab/>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616B92F5" w14:textId="42FF1AF6"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B902" w14:textId="57001151" w:rsidR="008874B9" w:rsidRPr="003861EE" w:rsidRDefault="008874B9" w:rsidP="0070095F">
    <w:pPr>
      <w:pStyle w:val="Footer"/>
    </w:pPr>
    <w:r w:rsidRPr="003861EE">
      <w:rPr>
        <w:noProof/>
      </w:rPr>
      <w:tab/>
    </w:r>
    <w:r w:rsidRPr="003861EE">
      <w:t xml:space="preserve">I - </w:t>
    </w:r>
    <w:r w:rsidRPr="003861EE">
      <w:fldChar w:fldCharType="begin"/>
    </w:r>
    <w:r w:rsidRPr="003861EE">
      <w:instrText xml:space="preserve"> PAGE  \* Arabic  \* MERGEFORMAT </w:instrText>
    </w:r>
    <w:r w:rsidRPr="003861EE">
      <w:fldChar w:fldCharType="separate"/>
    </w:r>
    <w:r>
      <w:rPr>
        <w:noProof/>
      </w:rPr>
      <w:t>20</w:t>
    </w:r>
    <w:r w:rsidRPr="003861EE">
      <w:fldChar w:fldCharType="end"/>
    </w:r>
  </w:p>
  <w:p w14:paraId="1B5350BF" w14:textId="785447BA"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492" w14:textId="2E3EAD9F" w:rsidR="008874B9" w:rsidRPr="003861EE" w:rsidRDefault="008874B9" w:rsidP="0070095F">
    <w:pPr>
      <w:pStyle w:val="Footer"/>
    </w:pPr>
    <w:r w:rsidRPr="003861EE">
      <w:rPr>
        <w:noProof/>
      </w:rPr>
      <w:tab/>
    </w:r>
    <w:r w:rsidRPr="003861EE">
      <w:t xml:space="preserve">II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3B90D2FF" w14:textId="7C2284AC"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4E67" w14:textId="24A177F6" w:rsidR="008874B9" w:rsidRPr="003861EE" w:rsidRDefault="008874B9" w:rsidP="00A02C3C">
    <w:pPr>
      <w:pStyle w:val="Footer"/>
    </w:pPr>
    <w:r w:rsidRPr="003861EE">
      <w:rPr>
        <w:noProof/>
      </w:rPr>
      <w:tab/>
    </w: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2</w:t>
    </w:r>
    <w:r w:rsidRPr="003861EE">
      <w:fldChar w:fldCharType="end"/>
    </w:r>
  </w:p>
  <w:p w14:paraId="4E621E9D" w14:textId="1C5078C0"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AEF" w14:textId="77777777" w:rsidR="008874B9" w:rsidRPr="003861EE" w:rsidRDefault="008874B9" w:rsidP="0070095F">
    <w:pPr>
      <w:pStyle w:val="Footer"/>
    </w:pPr>
    <w:r w:rsidRPr="003861EE">
      <w:rPr>
        <w:noProof/>
      </w:rPr>
      <w:tab/>
    </w:r>
    <w:r w:rsidRPr="003861EE">
      <w:t xml:space="preserve">IV - </w:t>
    </w:r>
    <w:bookmarkStart w:id="899" w:name="DocXTextRef375"/>
    <w:r w:rsidRPr="003861EE">
      <w:t>1</w:t>
    </w:r>
    <w:bookmarkEnd w:id="899"/>
  </w:p>
  <w:p w14:paraId="348DB1CE" w14:textId="6A9E6EB2" w:rsidR="008874B9" w:rsidRPr="003861EE" w:rsidRDefault="008D609F" w:rsidP="008D609F">
    <w:pPr>
      <w:pStyle w:val="Footer"/>
      <w:tabs>
        <w:tab w:val="clear" w:pos="9360"/>
        <w:tab w:val="right" w:pos="10080"/>
      </w:tabs>
      <w:spacing w:before="120"/>
      <w:rPr>
        <w:sz w:val="16"/>
        <w:szCs w:val="16"/>
      </w:rPr>
    </w:pPr>
    <w:r>
      <w:rPr>
        <w:sz w:val="16"/>
        <w:szCs w:val="16"/>
      </w:rPr>
      <w:t xml:space="preserve">PG&amp;E 2023 CPE Local Resource Adequacy RFO - </w:t>
    </w:r>
    <w:r w:rsidRPr="000A32B6">
      <w:rPr>
        <w:sz w:val="16"/>
        <w:szCs w:val="16"/>
      </w:rPr>
      <w:t>Resource Adequacy Agreement for Non-Owner of New Resource</w:t>
    </w:r>
    <w:r>
      <w:rPr>
        <w:sz w:val="16"/>
        <w:szCs w:val="16"/>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520E" w14:textId="77777777" w:rsidR="00867C1A" w:rsidRDefault="00867C1A" w:rsidP="0055205C">
      <w:r>
        <w:separator/>
      </w:r>
    </w:p>
  </w:footnote>
  <w:footnote w:type="continuationSeparator" w:id="0">
    <w:p w14:paraId="65317C69" w14:textId="77777777" w:rsidR="00867C1A" w:rsidRDefault="00867C1A" w:rsidP="0055205C">
      <w:r>
        <w:continuationSeparator/>
      </w:r>
    </w:p>
  </w:footnote>
  <w:footnote w:type="continuationNotice" w:id="1">
    <w:p w14:paraId="33C58A76" w14:textId="77777777" w:rsidR="00867C1A" w:rsidRDefault="00867C1A"/>
  </w:footnote>
  <w:footnote w:id="2">
    <w:p w14:paraId="04784B9C" w14:textId="77777777" w:rsidR="008874B9" w:rsidRDefault="008874B9" w:rsidP="00B201B3">
      <w:pPr>
        <w:pStyle w:val="FootnoteText"/>
        <w:ind w:left="0" w:firstLine="0"/>
        <w:rPr>
          <w:b/>
          <w:i/>
        </w:rPr>
      </w:pPr>
      <w:r>
        <w:rPr>
          <w:rStyle w:val="FootnoteReference"/>
        </w:rPr>
        <w:footnoteRef/>
      </w:r>
      <w:r>
        <w:t xml:space="preserve"> </w:t>
      </w:r>
      <w:r>
        <w:rPr>
          <w:b/>
          <w:i/>
        </w:rPr>
        <w:t>Drafting Note</w:t>
      </w:r>
      <w:r w:rsidRPr="00F70A76">
        <w:rPr>
          <w:b/>
          <w:i/>
        </w:rPr>
        <w:t xml:space="preserve">: </w:t>
      </w:r>
    </w:p>
    <w:p w14:paraId="15F953D3" w14:textId="596E871F" w:rsidR="008874B9" w:rsidRDefault="008874B9" w:rsidP="00F0481D">
      <w:pPr>
        <w:pStyle w:val="FootnoteText"/>
        <w:numPr>
          <w:ilvl w:val="0"/>
          <w:numId w:val="4"/>
        </w:numPr>
        <w:rPr>
          <w:b/>
          <w:i/>
        </w:rPr>
      </w:pPr>
      <w:r w:rsidRPr="00F70A76">
        <w:rPr>
          <w:b/>
          <w:i/>
        </w:rPr>
        <w:t xml:space="preserve">This </w:t>
      </w:r>
      <w:r>
        <w:rPr>
          <w:b/>
          <w:i/>
        </w:rPr>
        <w:t xml:space="preserve">form </w:t>
      </w:r>
      <w:r w:rsidRPr="00F70A76">
        <w:rPr>
          <w:b/>
          <w:i/>
        </w:rPr>
        <w:t>contemplates</w:t>
      </w:r>
      <w:r>
        <w:rPr>
          <w:b/>
          <w:i/>
        </w:rPr>
        <w:t xml:space="preserve"> a</w:t>
      </w:r>
      <w:r w:rsidRPr="00F70A76">
        <w:rPr>
          <w:b/>
          <w:i/>
        </w:rPr>
        <w:t xml:space="preserve"> </w:t>
      </w:r>
      <w:r>
        <w:rPr>
          <w:b/>
          <w:i/>
        </w:rPr>
        <w:t xml:space="preserve">Seller, who is offering </w:t>
      </w:r>
      <w:r w:rsidRPr="00F70A76">
        <w:rPr>
          <w:b/>
          <w:i/>
        </w:rPr>
        <w:t>a new-build resource</w:t>
      </w:r>
      <w:r w:rsidR="004A4D60">
        <w:rPr>
          <w:b/>
          <w:i/>
        </w:rPr>
        <w:t xml:space="preserve"> but does not own the resource</w:t>
      </w:r>
      <w:r w:rsidRPr="00F70A76">
        <w:rPr>
          <w:b/>
          <w:i/>
        </w:rPr>
        <w:t>.</w:t>
      </w:r>
    </w:p>
    <w:p w14:paraId="19118951" w14:textId="6408ACA6" w:rsidR="008874B9" w:rsidRDefault="008874B9" w:rsidP="00F0481D">
      <w:pPr>
        <w:pStyle w:val="FootnoteText"/>
        <w:numPr>
          <w:ilvl w:val="0"/>
          <w:numId w:val="4"/>
        </w:numPr>
        <w:rPr>
          <w:b/>
          <w:i/>
        </w:rPr>
      </w:pPr>
      <w:r>
        <w:rPr>
          <w:b/>
          <w:i/>
        </w:rPr>
        <w:t xml:space="preserve">Indicate in Appendix II Part </w:t>
      </w:r>
      <w:bookmarkStart w:id="1" w:name="DocXTextRef1"/>
      <w:r>
        <w:rPr>
          <w:b/>
          <w:i/>
        </w:rPr>
        <w:t>A</w:t>
      </w:r>
      <w:bookmarkEnd w:id="1"/>
      <w:r>
        <w:rPr>
          <w:b/>
          <w:i/>
        </w:rPr>
        <w:t xml:space="preserve"> if the Project is Front of the Meter or Behind the Meter and delete the corresponding bracketed language accordingly in recitals and elsewhere in the Agreement and Appendices.</w:t>
      </w:r>
    </w:p>
    <w:p w14:paraId="7B025D2A" w14:textId="6C0E0F87" w:rsidR="008874B9" w:rsidRDefault="008874B9" w:rsidP="005B7C89">
      <w:pPr>
        <w:pStyle w:val="FootnoteText"/>
        <w:numPr>
          <w:ilvl w:val="0"/>
          <w:numId w:val="4"/>
        </w:numPr>
      </w:pPr>
      <w:r w:rsidRPr="004D4E75">
        <w:rPr>
          <w:b/>
          <w:i/>
        </w:rPr>
        <w:t xml:space="preserve">Indicate in Appendix II Part C if this Agreement does or does not include Energy Settlement. If it does not, delete the bracketed language that relates to Energy Settlement and add “Reserved” or otherwise follow the directions of corresponding footnotes. If this Agreement does include Energy Settlement, remove brackets around Energy Settlement provisions in the Agreement and Appendices. </w:t>
      </w:r>
    </w:p>
  </w:footnote>
  <w:footnote w:id="3">
    <w:p w14:paraId="5CC40329" w14:textId="04CA715C" w:rsidR="009834C7" w:rsidRDefault="009834C7">
      <w:pPr>
        <w:pStyle w:val="FootnoteText"/>
      </w:pPr>
      <w:r>
        <w:rPr>
          <w:rStyle w:val="FootnoteReference"/>
        </w:rPr>
        <w:footnoteRef/>
      </w:r>
      <w:r>
        <w:t xml:space="preserve"> </w:t>
      </w:r>
      <w:r w:rsidRPr="00767327">
        <w:rPr>
          <w:b/>
          <w:bCs/>
          <w:i/>
          <w:iCs/>
        </w:rPr>
        <w:t xml:space="preserve">Drafting Note: Change to “Appendix VII- Reserved” if Seller is PG&amp;E. </w:t>
      </w:r>
    </w:p>
  </w:footnote>
  <w:footnote w:id="4">
    <w:p w14:paraId="3333C859" w14:textId="7077598F" w:rsidR="008874B9" w:rsidRDefault="008874B9">
      <w:pPr>
        <w:pStyle w:val="FootnoteText"/>
      </w:pPr>
      <w:r>
        <w:rPr>
          <w:rStyle w:val="FootnoteReference"/>
        </w:rPr>
        <w:footnoteRef/>
      </w:r>
      <w:r>
        <w:t xml:space="preserve"> </w:t>
      </w:r>
      <w:r w:rsidRPr="009629D2">
        <w:rPr>
          <w:b/>
          <w:i/>
        </w:rPr>
        <w:t xml:space="preserve">Drafting Note: Change to “Appendix XIII – Reserved” if Project is not an energy storage project. </w:t>
      </w:r>
    </w:p>
  </w:footnote>
  <w:footnote w:id="5">
    <w:p w14:paraId="4A86D426" w14:textId="399A53C5" w:rsidR="00386F19" w:rsidRDefault="00386F19">
      <w:pPr>
        <w:pStyle w:val="FootnoteText"/>
      </w:pPr>
      <w:r>
        <w:rPr>
          <w:rStyle w:val="FootnoteReference"/>
        </w:rPr>
        <w:footnoteRef/>
      </w:r>
      <w:r>
        <w:t xml:space="preserve"> </w:t>
      </w:r>
      <w:r w:rsidRPr="009629D2">
        <w:rPr>
          <w:b/>
          <w:i/>
        </w:rPr>
        <w:t>Drafting Note: Change to “Appendix XI</w:t>
      </w:r>
      <w:r>
        <w:rPr>
          <w:b/>
          <w:i/>
        </w:rPr>
        <w:t>V</w:t>
      </w:r>
      <w:r w:rsidRPr="009629D2">
        <w:rPr>
          <w:b/>
          <w:i/>
        </w:rPr>
        <w:t xml:space="preserve"> – Reserved” if Project is not an energy storage </w:t>
      </w:r>
      <w:r w:rsidR="0081166A">
        <w:rPr>
          <w:b/>
          <w:i/>
        </w:rPr>
        <w:t>project or behind the meter projec</w:t>
      </w:r>
      <w:r w:rsidRPr="009629D2">
        <w:rPr>
          <w:b/>
          <w:i/>
        </w:rPr>
        <w:t>t.</w:t>
      </w:r>
    </w:p>
  </w:footnote>
  <w:footnote w:id="6">
    <w:p w14:paraId="75BE9250" w14:textId="3A533E4B" w:rsidR="008874B9" w:rsidRDefault="008874B9">
      <w:pPr>
        <w:pStyle w:val="FootnoteText"/>
      </w:pPr>
      <w:r>
        <w:rPr>
          <w:rStyle w:val="FootnoteReference"/>
        </w:rPr>
        <w:footnoteRef/>
      </w:r>
      <w:r>
        <w:t xml:space="preserve"> </w:t>
      </w:r>
      <w:r w:rsidRPr="00D8055F">
        <w:rPr>
          <w:b/>
          <w:bCs/>
          <w:i/>
          <w:iCs/>
        </w:rPr>
        <w:t xml:space="preserve">Drafting Note: Applicable to </w:t>
      </w:r>
      <w:r>
        <w:rPr>
          <w:b/>
          <w:bCs/>
          <w:i/>
          <w:iCs/>
        </w:rPr>
        <w:t xml:space="preserve">the </w:t>
      </w:r>
      <w:r w:rsidRPr="00D8055F">
        <w:rPr>
          <w:b/>
          <w:bCs/>
          <w:i/>
          <w:iCs/>
        </w:rPr>
        <w:t>behind the meter Projects.</w:t>
      </w:r>
      <w:r>
        <w:t xml:space="preserve"> </w:t>
      </w:r>
    </w:p>
  </w:footnote>
  <w:footnote w:id="7">
    <w:p w14:paraId="6499CDD4" w14:textId="09423E7B" w:rsidR="008874B9" w:rsidRDefault="008874B9">
      <w:pPr>
        <w:pStyle w:val="FootnoteText"/>
      </w:pPr>
      <w:r>
        <w:rPr>
          <w:rStyle w:val="FootnoteReference"/>
        </w:rPr>
        <w:footnoteRef/>
      </w:r>
      <w:r>
        <w:rPr>
          <w:b/>
          <w:i/>
        </w:rPr>
        <w:t xml:space="preserve"> Drafting Note: Calculate this date by taking Expected Initial Delivery Date and adding the number of calendar months for the term included in Seller’s offer. </w:t>
      </w:r>
      <w:r w:rsidRPr="006D2854">
        <w:rPr>
          <w:b/>
          <w:bCs/>
          <w:i/>
          <w:iCs/>
        </w:rPr>
        <w:t xml:space="preserve">Note that the </w:t>
      </w:r>
      <w:r>
        <w:rPr>
          <w:b/>
          <w:bCs/>
          <w:i/>
          <w:iCs/>
        </w:rPr>
        <w:t xml:space="preserve">Delivery </w:t>
      </w:r>
      <w:r w:rsidRPr="006D2854">
        <w:rPr>
          <w:b/>
          <w:bCs/>
          <w:i/>
          <w:iCs/>
        </w:rPr>
        <w:t>Term cannot be more than 60 Contract Months without CPUC approval.</w:t>
      </w:r>
    </w:p>
  </w:footnote>
  <w:footnote w:id="8">
    <w:p w14:paraId="7B7A3380" w14:textId="116090C0" w:rsidR="008874B9" w:rsidRDefault="008874B9">
      <w:pPr>
        <w:pStyle w:val="FootnoteText"/>
      </w:pPr>
      <w:r>
        <w:rPr>
          <w:rStyle w:val="FootnoteReference"/>
        </w:rPr>
        <w:footnoteRef/>
      </w:r>
      <w:r>
        <w:t xml:space="preserve"> </w:t>
      </w:r>
      <w:r w:rsidRPr="00165260">
        <w:rPr>
          <w:b/>
          <w:bCs/>
          <w:i/>
          <w:iCs/>
        </w:rPr>
        <w:t xml:space="preserve">Drafting Note: This should be the first </w:t>
      </w:r>
      <w:r>
        <w:rPr>
          <w:b/>
          <w:bCs/>
          <w:i/>
          <w:iCs/>
        </w:rPr>
        <w:t xml:space="preserve">day </w:t>
      </w:r>
      <w:r w:rsidRPr="00165260">
        <w:rPr>
          <w:b/>
          <w:bCs/>
          <w:i/>
          <w:iCs/>
        </w:rPr>
        <w:t xml:space="preserve">of the month. </w:t>
      </w:r>
    </w:p>
  </w:footnote>
  <w:footnote w:id="9">
    <w:p w14:paraId="62483659" w14:textId="3AA7A597" w:rsidR="00B466F4" w:rsidRDefault="00B466F4">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p>
  </w:footnote>
  <w:footnote w:id="10">
    <w:p w14:paraId="50735A99" w14:textId="77777777" w:rsidR="006D6CE6" w:rsidRPr="0055224F" w:rsidRDefault="006D6CE6" w:rsidP="00466E32">
      <w:pPr>
        <w:pStyle w:val="FootnoteText"/>
        <w:rPr>
          <w:b/>
          <w:bCs/>
          <w:i/>
          <w:iCs/>
        </w:rPr>
      </w:pPr>
      <w:r>
        <w:rPr>
          <w:rStyle w:val="FootnoteReference"/>
        </w:rPr>
        <w:footnoteRef/>
      </w:r>
      <w:r>
        <w:t xml:space="preserve"> </w:t>
      </w:r>
      <w:r>
        <w:rPr>
          <w:b/>
          <w:bCs/>
          <w:i/>
          <w:iCs/>
        </w:rPr>
        <w:t>Drafting Note: only include if a Guaranty is being provided; otherwise delete.</w:t>
      </w:r>
    </w:p>
  </w:footnote>
  <w:footnote w:id="11">
    <w:p w14:paraId="74678794" w14:textId="77777777" w:rsidR="006D6CE6" w:rsidRPr="00F06D6C" w:rsidRDefault="006D6CE6" w:rsidP="00466E32">
      <w:pPr>
        <w:pStyle w:val="FootnoteText"/>
      </w:pPr>
      <w:r>
        <w:rPr>
          <w:rStyle w:val="FootnoteReference"/>
        </w:rPr>
        <w:footnoteRef/>
      </w:r>
      <w:r>
        <w:t xml:space="preserve"> </w:t>
      </w:r>
      <w:r>
        <w:rPr>
          <w:b/>
          <w:bCs/>
          <w:i/>
          <w:iCs/>
        </w:rPr>
        <w:t>Drafting Note: if no Guaranty is being provided revise to refer to 10.5.</w:t>
      </w:r>
    </w:p>
  </w:footnote>
  <w:footnote w:id="12">
    <w:p w14:paraId="4E173685" w14:textId="52723490" w:rsidR="007C4149" w:rsidRDefault="007C4149">
      <w:pPr>
        <w:pStyle w:val="FootnoteText"/>
      </w:pPr>
      <w:r>
        <w:rPr>
          <w:rStyle w:val="FootnoteReference"/>
        </w:rPr>
        <w:footnoteRef/>
      </w:r>
      <w:r>
        <w:t xml:space="preserve"> </w:t>
      </w:r>
      <w:r w:rsidR="00CE2BBE">
        <w:rPr>
          <w:b/>
          <w:bCs/>
          <w:i/>
          <w:iCs/>
        </w:rPr>
        <w:t xml:space="preserve">Drafting Note: </w:t>
      </w:r>
      <w:r w:rsidR="002C2C84">
        <w:rPr>
          <w:b/>
          <w:i/>
        </w:rPr>
        <w:t>Delete if CPUC Approval is not required.</w:t>
      </w:r>
    </w:p>
  </w:footnote>
  <w:footnote w:id="13">
    <w:p w14:paraId="272B2FE4" w14:textId="767ADFE6" w:rsidR="00CE2BBE" w:rsidRDefault="00CE2BBE">
      <w:pPr>
        <w:pStyle w:val="FootnoteText"/>
      </w:pPr>
      <w:r>
        <w:rPr>
          <w:rStyle w:val="FootnoteReference"/>
        </w:rPr>
        <w:footnoteRef/>
      </w:r>
      <w:r>
        <w:t xml:space="preserve"> </w:t>
      </w:r>
      <w:r>
        <w:rPr>
          <w:b/>
          <w:bCs/>
          <w:i/>
          <w:iCs/>
        </w:rPr>
        <w:t xml:space="preserve">Drafting Note: </w:t>
      </w:r>
      <w:r>
        <w:rPr>
          <w:b/>
          <w:i/>
        </w:rPr>
        <w:t>Delete if CPUC Approval is not required.</w:t>
      </w:r>
      <w:r w:rsidR="00B07A2B">
        <w:rPr>
          <w:b/>
          <w:i/>
        </w:rPr>
        <w:t xml:space="preserve">  </w:t>
      </w:r>
    </w:p>
  </w:footnote>
  <w:footnote w:id="14">
    <w:p w14:paraId="3078155E" w14:textId="6C14B91A" w:rsidR="00767327" w:rsidRDefault="00767327">
      <w:pPr>
        <w:pStyle w:val="FootnoteText"/>
      </w:pPr>
      <w:r>
        <w:rPr>
          <w:rStyle w:val="FootnoteReference"/>
        </w:rPr>
        <w:footnoteRef/>
      </w:r>
      <w:r>
        <w:t xml:space="preserve"> </w:t>
      </w:r>
      <w:r w:rsidRPr="00767327">
        <w:rPr>
          <w:b/>
          <w:bCs/>
          <w:i/>
          <w:iCs/>
        </w:rPr>
        <w:t xml:space="preserve">Drafting Note: Delete and add “[Reserved.]” if Seller is PG&amp;E. </w:t>
      </w:r>
    </w:p>
  </w:footnote>
  <w:footnote w:id="15">
    <w:p w14:paraId="302DD639" w14:textId="7C20C4A8" w:rsidR="006E66CD" w:rsidRDefault="006E66CD">
      <w:pPr>
        <w:pStyle w:val="FootnoteText"/>
      </w:pPr>
      <w:r>
        <w:rPr>
          <w:rStyle w:val="FootnoteReference"/>
        </w:rPr>
        <w:footnoteRef/>
      </w:r>
      <w:r>
        <w:t xml:space="preserve"> </w:t>
      </w:r>
      <w:bookmarkStart w:id="58" w:name="_Hlk107501439"/>
      <w:r w:rsidRPr="00951E99">
        <w:rPr>
          <w:b/>
          <w:bCs/>
          <w:i/>
          <w:iCs/>
        </w:rPr>
        <w:t xml:space="preserve">Drafting Note: </w:t>
      </w:r>
      <w:r>
        <w:rPr>
          <w:b/>
          <w:bCs/>
          <w:i/>
          <w:iCs/>
        </w:rPr>
        <w:t>Change to [Reserved]</w:t>
      </w:r>
      <w:r w:rsidRPr="00951E99">
        <w:rPr>
          <w:b/>
          <w:bCs/>
          <w:i/>
          <w:iCs/>
        </w:rPr>
        <w:t xml:space="preserve"> if Project is not an energy storage </w:t>
      </w:r>
      <w:r w:rsidR="0081166A">
        <w:rPr>
          <w:b/>
          <w:bCs/>
          <w:i/>
          <w:iCs/>
        </w:rPr>
        <w:t>p</w:t>
      </w:r>
      <w:r w:rsidRPr="00951E99">
        <w:rPr>
          <w:b/>
          <w:bCs/>
          <w:i/>
          <w:iCs/>
        </w:rPr>
        <w:t>roject</w:t>
      </w:r>
      <w:r w:rsidR="0081166A">
        <w:rPr>
          <w:b/>
          <w:bCs/>
          <w:i/>
          <w:iCs/>
        </w:rPr>
        <w:t xml:space="preserve"> or behind the meter project</w:t>
      </w:r>
      <w:r w:rsidRPr="00951E99">
        <w:rPr>
          <w:b/>
          <w:bCs/>
          <w:i/>
          <w:iCs/>
        </w:rPr>
        <w:t>.</w:t>
      </w:r>
      <w:bookmarkEnd w:id="58"/>
    </w:p>
  </w:footnote>
  <w:footnote w:id="16">
    <w:p w14:paraId="0181DE31" w14:textId="298E2F70" w:rsidR="006E66CD" w:rsidRDefault="006E66CD">
      <w:pPr>
        <w:pStyle w:val="FootnoteText"/>
      </w:pPr>
      <w:r>
        <w:rPr>
          <w:rStyle w:val="FootnoteReference"/>
        </w:rPr>
        <w:footnoteRef/>
      </w:r>
      <w:r>
        <w:t xml:space="preserve"> </w:t>
      </w:r>
      <w:r w:rsidRPr="00951E99">
        <w:rPr>
          <w:b/>
          <w:bCs/>
          <w:i/>
          <w:iCs/>
        </w:rPr>
        <w:t xml:space="preserve">Drafting Note: Delete if Project is not an energy storage </w:t>
      </w:r>
      <w:r w:rsidR="0081166A">
        <w:rPr>
          <w:b/>
          <w:bCs/>
          <w:i/>
          <w:iCs/>
        </w:rPr>
        <w:t>p</w:t>
      </w:r>
      <w:r w:rsidRPr="00951E99">
        <w:rPr>
          <w:b/>
          <w:bCs/>
          <w:i/>
          <w:iCs/>
        </w:rPr>
        <w:t>roject</w:t>
      </w:r>
      <w:r w:rsidR="0081166A">
        <w:rPr>
          <w:b/>
          <w:bCs/>
          <w:i/>
          <w:iCs/>
        </w:rPr>
        <w:t xml:space="preserve"> or behind the meter project</w:t>
      </w:r>
      <w:r w:rsidRPr="00951E99">
        <w:rPr>
          <w:b/>
          <w:bCs/>
          <w:i/>
          <w:iCs/>
        </w:rPr>
        <w:t>.</w:t>
      </w:r>
    </w:p>
  </w:footnote>
  <w:footnote w:id="17">
    <w:p w14:paraId="2D390FDB" w14:textId="29C9D396" w:rsidR="006E66CD" w:rsidRDefault="006E66CD">
      <w:pPr>
        <w:pStyle w:val="FootnoteText"/>
      </w:pPr>
      <w:r>
        <w:rPr>
          <w:rStyle w:val="FootnoteReference"/>
        </w:rPr>
        <w:footnoteRef/>
      </w:r>
      <w:r>
        <w:t xml:space="preserve"> </w:t>
      </w:r>
      <w:r w:rsidRPr="00951E99">
        <w:rPr>
          <w:b/>
          <w:bCs/>
          <w:i/>
          <w:iCs/>
        </w:rPr>
        <w:t xml:space="preserve">Drafting Note: </w:t>
      </w:r>
      <w:r>
        <w:rPr>
          <w:b/>
          <w:bCs/>
          <w:i/>
          <w:iCs/>
        </w:rPr>
        <w:t>Change to [Reserved] if</w:t>
      </w:r>
      <w:r w:rsidRPr="00951E99">
        <w:rPr>
          <w:b/>
          <w:bCs/>
          <w:i/>
          <w:iCs/>
        </w:rPr>
        <w:t xml:space="preserve"> Project is not an energy storage </w:t>
      </w:r>
      <w:r w:rsidR="0081166A">
        <w:rPr>
          <w:b/>
          <w:bCs/>
          <w:i/>
          <w:iCs/>
        </w:rPr>
        <w:t>p</w:t>
      </w:r>
      <w:r w:rsidRPr="00951E99">
        <w:rPr>
          <w:b/>
          <w:bCs/>
          <w:i/>
          <w:iCs/>
        </w:rPr>
        <w:t>roject</w:t>
      </w:r>
      <w:r w:rsidR="0081166A">
        <w:rPr>
          <w:b/>
          <w:bCs/>
          <w:i/>
          <w:iCs/>
        </w:rPr>
        <w:t xml:space="preserve"> or behind the meter project</w:t>
      </w:r>
      <w:r w:rsidRPr="00951E99">
        <w:rPr>
          <w:b/>
          <w:bCs/>
          <w:i/>
          <w:iCs/>
        </w:rPr>
        <w:t>.</w:t>
      </w:r>
    </w:p>
  </w:footnote>
  <w:footnote w:id="18">
    <w:p w14:paraId="74B92D3A" w14:textId="1DE30AB6" w:rsidR="00790E05" w:rsidRDefault="00790E05">
      <w:pPr>
        <w:pStyle w:val="FootnoteText"/>
      </w:pPr>
      <w:r>
        <w:rPr>
          <w:rStyle w:val="FootnoteReference"/>
        </w:rPr>
        <w:footnoteRef/>
      </w:r>
      <w:r>
        <w:t xml:space="preserve"> </w:t>
      </w:r>
      <w:r>
        <w:rPr>
          <w:b/>
          <w:bCs/>
          <w:i/>
          <w:iCs/>
        </w:rPr>
        <w:t>D</w:t>
      </w:r>
      <w:r w:rsidR="006E66CD">
        <w:rPr>
          <w:b/>
          <w:bCs/>
          <w:i/>
          <w:iCs/>
        </w:rPr>
        <w:t>rafting Note: D</w:t>
      </w:r>
      <w:r>
        <w:rPr>
          <w:b/>
          <w:bCs/>
          <w:i/>
          <w:iCs/>
        </w:rPr>
        <w:t xml:space="preserve">elete if there is no Energy Settlement under this Agreement. </w:t>
      </w:r>
      <w:r>
        <w:t xml:space="preserve"> </w:t>
      </w:r>
    </w:p>
  </w:footnote>
  <w:footnote w:id="19">
    <w:p w14:paraId="457A7F8A" w14:textId="073BA3D0" w:rsidR="008874B9" w:rsidRDefault="008874B9">
      <w:pPr>
        <w:pStyle w:val="FootnoteText"/>
      </w:pPr>
      <w:r>
        <w:rPr>
          <w:rStyle w:val="FootnoteReference"/>
        </w:rPr>
        <w:footnoteRef/>
      </w:r>
      <w:r>
        <w:t xml:space="preserve"> </w:t>
      </w:r>
      <w:r w:rsidRPr="009C464A">
        <w:rPr>
          <w:b/>
          <w:bCs/>
          <w:i/>
          <w:iCs/>
        </w:rPr>
        <w:t>D</w:t>
      </w:r>
      <w:r w:rsidR="009C464A">
        <w:rPr>
          <w:b/>
          <w:bCs/>
          <w:i/>
          <w:iCs/>
        </w:rPr>
        <w:t>rafting Note</w:t>
      </w:r>
      <w:r w:rsidRPr="009C464A">
        <w:rPr>
          <w:b/>
          <w:bCs/>
          <w:i/>
          <w:iCs/>
        </w:rPr>
        <w:t xml:space="preserve">: </w:t>
      </w:r>
      <w:r w:rsidR="00284029">
        <w:rPr>
          <w:b/>
          <w:bCs/>
          <w:i/>
          <w:iCs/>
        </w:rPr>
        <w:t>Delete if there is no Energy Settlement under this Agreement.</w:t>
      </w:r>
    </w:p>
  </w:footnote>
  <w:footnote w:id="20">
    <w:p w14:paraId="11621631" w14:textId="52246CFE" w:rsidR="008874B9" w:rsidRDefault="008874B9">
      <w:pPr>
        <w:pStyle w:val="FootnoteText"/>
      </w:pPr>
      <w:r>
        <w:rPr>
          <w:rStyle w:val="FootnoteReference"/>
        </w:rPr>
        <w:footnoteRef/>
      </w:r>
      <w:r>
        <w:t xml:space="preserve"> </w:t>
      </w:r>
      <w:r>
        <w:rPr>
          <w:b/>
          <w:bCs/>
          <w:i/>
          <w:iCs/>
        </w:rPr>
        <w:t>Drafting Note: Delete if there is no Energy Settlement under this Agreement.</w:t>
      </w:r>
    </w:p>
  </w:footnote>
  <w:footnote w:id="21">
    <w:p w14:paraId="22513437" w14:textId="54E2AD0C" w:rsidR="003D5FF5" w:rsidRDefault="003D5FF5">
      <w:pPr>
        <w:pStyle w:val="FootnoteText"/>
      </w:pPr>
      <w:r>
        <w:rPr>
          <w:rStyle w:val="FootnoteReference"/>
        </w:rPr>
        <w:footnoteRef/>
      </w:r>
      <w:r>
        <w:t xml:space="preserve"> </w:t>
      </w:r>
      <w:r w:rsidRPr="00767327">
        <w:rPr>
          <w:b/>
          <w:bCs/>
          <w:i/>
          <w:iCs/>
        </w:rPr>
        <w:t>Drafting Note: Delete and add “[Reserved.]” if Seller is PG&amp;E.</w:t>
      </w:r>
    </w:p>
  </w:footnote>
  <w:footnote w:id="22">
    <w:p w14:paraId="2376D6E8" w14:textId="234AB79C" w:rsidR="008874B9" w:rsidRDefault="008874B9">
      <w:pPr>
        <w:pStyle w:val="FootnoteText"/>
      </w:pPr>
      <w:r>
        <w:rPr>
          <w:rStyle w:val="FootnoteReference"/>
        </w:rPr>
        <w:footnoteRef/>
      </w:r>
      <w:r>
        <w:t xml:space="preserve"> </w:t>
      </w:r>
      <w:r w:rsidRPr="007535FC">
        <w:rPr>
          <w:b/>
          <w:bCs/>
          <w:i/>
          <w:iCs/>
        </w:rPr>
        <w:t>Drafting Note: Re</w:t>
      </w:r>
      <w:r>
        <w:rPr>
          <w:b/>
          <w:bCs/>
          <w:i/>
          <w:iCs/>
        </w:rPr>
        <w:t xml:space="preserve">move clause (xiii) if Seller is not </w:t>
      </w:r>
      <w:r w:rsidRPr="007535FC">
        <w:rPr>
          <w:b/>
          <w:bCs/>
          <w:i/>
          <w:iCs/>
        </w:rPr>
        <w:t>providing a Guaranty</w:t>
      </w:r>
      <w:r>
        <w:rPr>
          <w:b/>
          <w:bCs/>
          <w:i/>
          <w:iCs/>
        </w:rPr>
        <w:t xml:space="preserve"> under this Agreement</w:t>
      </w:r>
      <w:r w:rsidRPr="007535FC">
        <w:rPr>
          <w:b/>
          <w:bCs/>
          <w:i/>
          <w:iCs/>
        </w:rPr>
        <w:t>.</w:t>
      </w:r>
    </w:p>
  </w:footnote>
  <w:footnote w:id="23">
    <w:p w14:paraId="07746511" w14:textId="52E64E7B" w:rsidR="000C489F" w:rsidRDefault="000C489F">
      <w:pPr>
        <w:pStyle w:val="FootnoteText"/>
      </w:pPr>
      <w:r>
        <w:rPr>
          <w:rStyle w:val="FootnoteReference"/>
        </w:rPr>
        <w:footnoteRef/>
      </w:r>
      <w:r>
        <w:t xml:space="preserve"> </w:t>
      </w:r>
      <w:r w:rsidRPr="00767327">
        <w:rPr>
          <w:b/>
          <w:bCs/>
          <w:i/>
          <w:iCs/>
        </w:rPr>
        <w:t>Drafting Note: Delete and add “[Reserved.]” if Seller is PG&amp;E.</w:t>
      </w:r>
    </w:p>
  </w:footnote>
  <w:footnote w:id="24">
    <w:p w14:paraId="038FBC7F" w14:textId="77777777" w:rsidR="00817F20" w:rsidRDefault="00817F20" w:rsidP="00817F20">
      <w:pPr>
        <w:pStyle w:val="FootnoteText"/>
      </w:pPr>
      <w:r>
        <w:rPr>
          <w:rStyle w:val="FootnoteReference"/>
        </w:rPr>
        <w:footnoteRef/>
      </w:r>
      <w:r>
        <w:t xml:space="preserve"> </w:t>
      </w:r>
      <w:r>
        <w:rPr>
          <w:b/>
          <w:bCs/>
          <w:i/>
          <w:iCs/>
        </w:rPr>
        <w:t>Drafting Note: Delete if there is no Energy Settlement under this Agreement.</w:t>
      </w:r>
    </w:p>
  </w:footnote>
  <w:footnote w:id="25">
    <w:p w14:paraId="6A2D517C" w14:textId="62EA8BEB" w:rsidR="00BF3FF6" w:rsidRDefault="00BF3FF6">
      <w:pPr>
        <w:pStyle w:val="FootnoteText"/>
      </w:pPr>
      <w:r>
        <w:rPr>
          <w:rStyle w:val="FootnoteReference"/>
        </w:rPr>
        <w:footnoteRef/>
      </w:r>
      <w:r>
        <w:t xml:space="preserve"> </w:t>
      </w:r>
      <w:r w:rsidRPr="00BF3FF6">
        <w:rPr>
          <w:b/>
          <w:bCs/>
          <w:i/>
          <w:iCs/>
        </w:rPr>
        <w:t>Drafting Note: Delete all of the provisions in Article 10 and add “[Reserved.]” as the name of the Article if Seller is PG&amp;E.</w:t>
      </w:r>
      <w:r>
        <w:t xml:space="preserve"> </w:t>
      </w:r>
    </w:p>
  </w:footnote>
  <w:footnote w:id="26">
    <w:p w14:paraId="0C679359" w14:textId="44FFC73C" w:rsidR="008874B9" w:rsidRDefault="008874B9" w:rsidP="00B10F24">
      <w:pPr>
        <w:pStyle w:val="FootnoteText"/>
      </w:pPr>
      <w:r>
        <w:rPr>
          <w:rStyle w:val="FootnoteReference"/>
        </w:rPr>
        <w:footnoteRef/>
      </w:r>
      <w:r>
        <w:t xml:space="preserve"> </w:t>
      </w:r>
      <w:r w:rsidRPr="00B10F24">
        <w:rPr>
          <w:b/>
          <w:bCs/>
          <w:i/>
          <w:iCs/>
        </w:rPr>
        <w:t>Drafting Note: Retain or remove bracketed selections in Section 10.4(a) based on whether Seller will be providing a Guaranty.</w:t>
      </w:r>
    </w:p>
  </w:footnote>
  <w:footnote w:id="27">
    <w:p w14:paraId="7573EA0F" w14:textId="0D7F85D6" w:rsidR="008874B9" w:rsidRDefault="008874B9">
      <w:pPr>
        <w:pStyle w:val="FootnoteText"/>
      </w:pPr>
      <w:r>
        <w:rPr>
          <w:rStyle w:val="FootnoteReference"/>
        </w:rPr>
        <w:footnoteRef/>
      </w:r>
      <w:r>
        <w:t xml:space="preserve"> </w:t>
      </w:r>
      <w:bookmarkStart w:id="364" w:name="_Hlk68956886"/>
      <w:r w:rsidRPr="004B738A">
        <w:rPr>
          <w:b/>
          <w:bCs/>
          <w:i/>
          <w:iCs/>
        </w:rPr>
        <w:t xml:space="preserve">Drafting Note: The Performance Assurance requirements may vary based on Seller’s creditworthiness. Refer to the </w:t>
      </w:r>
      <w:r w:rsidR="003714BD">
        <w:rPr>
          <w:b/>
          <w:bCs/>
          <w:i/>
          <w:iCs/>
        </w:rPr>
        <w:t>202</w:t>
      </w:r>
      <w:r w:rsidR="001C2874">
        <w:rPr>
          <w:b/>
          <w:bCs/>
          <w:i/>
          <w:iCs/>
        </w:rPr>
        <w:t>3</w:t>
      </w:r>
      <w:r w:rsidR="003714BD">
        <w:rPr>
          <w:b/>
          <w:bCs/>
          <w:i/>
          <w:iCs/>
        </w:rPr>
        <w:t xml:space="preserve"> CPE Local Resource Adequacy RFO</w:t>
      </w:r>
      <w:r w:rsidRPr="004B738A">
        <w:rPr>
          <w:b/>
          <w:bCs/>
          <w:i/>
          <w:iCs/>
        </w:rPr>
        <w:t xml:space="preserve"> Protocol for details. </w:t>
      </w:r>
      <w:bookmarkEnd w:id="364"/>
    </w:p>
  </w:footnote>
  <w:footnote w:id="28">
    <w:p w14:paraId="0F34A021" w14:textId="7B72A3C7" w:rsidR="00790444" w:rsidRDefault="00790444">
      <w:pPr>
        <w:pStyle w:val="FootnoteText"/>
      </w:pPr>
      <w:r>
        <w:rPr>
          <w:rStyle w:val="FootnoteReference"/>
        </w:rPr>
        <w:footnoteRef/>
      </w:r>
      <w:r>
        <w:t xml:space="preserve"> </w:t>
      </w:r>
      <w:r w:rsidRPr="00B10F24">
        <w:rPr>
          <w:b/>
          <w:bCs/>
          <w:i/>
          <w:iCs/>
        </w:rPr>
        <w:t xml:space="preserve">Drafting Note: </w:t>
      </w:r>
      <w:r>
        <w:rPr>
          <w:b/>
          <w:bCs/>
          <w:i/>
          <w:iCs/>
        </w:rPr>
        <w:t>Delete if there is no Energy Settlement</w:t>
      </w:r>
    </w:p>
  </w:footnote>
  <w:footnote w:id="29">
    <w:p w14:paraId="2EB4AD06" w14:textId="18EF3C89" w:rsidR="008874B9" w:rsidRDefault="008874B9" w:rsidP="00AB12A0">
      <w:pPr>
        <w:pStyle w:val="FootnoteText"/>
      </w:pPr>
      <w:r>
        <w:rPr>
          <w:rStyle w:val="FootnoteReference"/>
        </w:rPr>
        <w:footnoteRef/>
      </w:r>
      <w:r>
        <w:t xml:space="preserve"> </w:t>
      </w:r>
      <w:r w:rsidRPr="00AB12A0">
        <w:rPr>
          <w:b/>
          <w:bCs/>
          <w:i/>
          <w:iCs/>
        </w:rPr>
        <w:t>Drafting Note: Make applicable selections to Section 10.6 based on whether Seller will be providing a Guaranty.</w:t>
      </w:r>
    </w:p>
  </w:footnote>
  <w:footnote w:id="30">
    <w:p w14:paraId="39CDCA46" w14:textId="77777777" w:rsidR="00C057E8" w:rsidRDefault="00C057E8" w:rsidP="00C057E8">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p>
  </w:footnote>
  <w:footnote w:id="31">
    <w:p w14:paraId="26D5AFE8" w14:textId="77777777" w:rsidR="00C057E8" w:rsidRDefault="00C057E8" w:rsidP="00C057E8">
      <w:pPr>
        <w:pStyle w:val="FootnoteText"/>
      </w:pPr>
      <w:r>
        <w:rPr>
          <w:rStyle w:val="FootnoteReference"/>
        </w:rPr>
        <w:footnoteRef/>
      </w:r>
      <w:r>
        <w:t xml:space="preserve"> </w:t>
      </w:r>
      <w:r w:rsidRPr="00B10F24">
        <w:rPr>
          <w:b/>
          <w:bCs/>
          <w:i/>
          <w:iCs/>
        </w:rPr>
        <w:t xml:space="preserve">Drafting Note: </w:t>
      </w:r>
      <w:r>
        <w:rPr>
          <w:b/>
          <w:bCs/>
          <w:i/>
          <w:iCs/>
        </w:rPr>
        <w:t>Add if CPUC Approval is not required</w:t>
      </w:r>
    </w:p>
  </w:footnote>
  <w:footnote w:id="32">
    <w:p w14:paraId="2B6AAACF" w14:textId="407CEB46" w:rsidR="006E66CD" w:rsidRDefault="006E66CD">
      <w:pPr>
        <w:pStyle w:val="FootnoteText"/>
      </w:pPr>
      <w:r>
        <w:rPr>
          <w:rStyle w:val="FootnoteReference"/>
        </w:rPr>
        <w:footnoteRef/>
      </w:r>
      <w:r>
        <w:t xml:space="preserve"> </w:t>
      </w:r>
      <w:r w:rsidRPr="006E66CD">
        <w:rPr>
          <w:b/>
          <w:bCs/>
          <w:i/>
          <w:iCs/>
        </w:rPr>
        <w:t>Drafting Note:</w:t>
      </w:r>
      <w:r>
        <w:rPr>
          <w:b/>
          <w:bCs/>
          <w:i/>
          <w:iCs/>
        </w:rPr>
        <w:t xml:space="preserve"> Change to [Reserved]</w:t>
      </w:r>
      <w:r w:rsidRPr="006E66CD">
        <w:rPr>
          <w:b/>
          <w:bCs/>
          <w:i/>
          <w:iCs/>
        </w:rPr>
        <w:t xml:space="preserve"> if Project is not an energy storage </w:t>
      </w:r>
      <w:r w:rsidR="004A364C">
        <w:rPr>
          <w:b/>
          <w:bCs/>
          <w:i/>
          <w:iCs/>
        </w:rPr>
        <w:t>p</w:t>
      </w:r>
      <w:r w:rsidRPr="006E66CD">
        <w:rPr>
          <w:b/>
          <w:bCs/>
          <w:i/>
          <w:iCs/>
        </w:rPr>
        <w:t>roject</w:t>
      </w:r>
      <w:r w:rsidR="004A364C">
        <w:rPr>
          <w:b/>
          <w:bCs/>
          <w:i/>
          <w:iCs/>
        </w:rPr>
        <w:t xml:space="preserve"> or behind the meter project</w:t>
      </w:r>
      <w:r w:rsidRPr="006E66CD">
        <w:rPr>
          <w:b/>
          <w:bCs/>
          <w:i/>
          <w:iCs/>
        </w:rPr>
        <w:t>.</w:t>
      </w:r>
    </w:p>
  </w:footnote>
  <w:footnote w:id="33">
    <w:p w14:paraId="0B35F0ED" w14:textId="2C5E1691" w:rsidR="0071606E" w:rsidRDefault="0071606E">
      <w:pPr>
        <w:pStyle w:val="FootnoteText"/>
      </w:pPr>
      <w:r>
        <w:rPr>
          <w:rStyle w:val="FootnoteReference"/>
        </w:rPr>
        <w:footnoteRef/>
      </w:r>
      <w:r>
        <w:t xml:space="preserve"> </w:t>
      </w:r>
      <w:r w:rsidRPr="0071606E">
        <w:rPr>
          <w:b/>
          <w:bCs/>
          <w:i/>
          <w:iCs/>
        </w:rPr>
        <w:t>Drafting Note: If Seller is PG&amp;E, delete this provision and instead add: “Seller shall release, defend, indemnify and hold harmless Buyer, against and from any Indemnifiable Losses, which arise out of or relate to or are in any way connected with, Seller’s delivery of, or failure to deliver, the Product to Buyer.”</w:t>
      </w:r>
    </w:p>
  </w:footnote>
  <w:footnote w:id="34">
    <w:p w14:paraId="73A2DA3B" w14:textId="21251991" w:rsidR="006E66CD" w:rsidRDefault="006E66CD">
      <w:pPr>
        <w:pStyle w:val="FootnoteText"/>
      </w:pPr>
      <w:r>
        <w:rPr>
          <w:rStyle w:val="FootnoteReference"/>
        </w:rPr>
        <w:footnoteRef/>
      </w:r>
      <w:r>
        <w:t xml:space="preserve"> </w:t>
      </w:r>
      <w:r w:rsidRPr="00951E99">
        <w:rPr>
          <w:b/>
          <w:bCs/>
          <w:i/>
          <w:iCs/>
        </w:rPr>
        <w:t xml:space="preserve">Drafting Note: Delete if Project is not an energy storage </w:t>
      </w:r>
      <w:r w:rsidR="004A364C">
        <w:rPr>
          <w:b/>
          <w:bCs/>
          <w:i/>
          <w:iCs/>
        </w:rPr>
        <w:t>p</w:t>
      </w:r>
      <w:r w:rsidRPr="00951E99">
        <w:rPr>
          <w:b/>
          <w:bCs/>
          <w:i/>
          <w:iCs/>
        </w:rPr>
        <w:t>roject</w:t>
      </w:r>
      <w:r w:rsidR="004A364C">
        <w:rPr>
          <w:b/>
          <w:bCs/>
          <w:i/>
          <w:iCs/>
        </w:rPr>
        <w:t xml:space="preserve"> or behind the meter project</w:t>
      </w:r>
      <w:r w:rsidRPr="00951E99">
        <w:rPr>
          <w:b/>
          <w:bCs/>
          <w:i/>
          <w:iCs/>
        </w:rPr>
        <w:t>.</w:t>
      </w:r>
    </w:p>
  </w:footnote>
  <w:footnote w:id="35">
    <w:p w14:paraId="25B13498" w14:textId="4FDFD2C0" w:rsidR="006E66CD" w:rsidRDefault="006E66CD">
      <w:pPr>
        <w:pStyle w:val="FootnoteText"/>
      </w:pPr>
      <w:r>
        <w:rPr>
          <w:rStyle w:val="FootnoteReference"/>
        </w:rPr>
        <w:footnoteRef/>
      </w:r>
      <w:r>
        <w:t xml:space="preserve"> </w:t>
      </w:r>
      <w:r w:rsidRPr="00951E99">
        <w:rPr>
          <w:b/>
          <w:bCs/>
          <w:i/>
          <w:iCs/>
        </w:rPr>
        <w:t xml:space="preserve">Drafting Note: Delete if Project is not an energy storage </w:t>
      </w:r>
      <w:r w:rsidR="004A364C">
        <w:rPr>
          <w:b/>
          <w:bCs/>
          <w:i/>
          <w:iCs/>
        </w:rPr>
        <w:t>p</w:t>
      </w:r>
      <w:r w:rsidRPr="00951E99">
        <w:rPr>
          <w:b/>
          <w:bCs/>
          <w:i/>
          <w:iCs/>
        </w:rPr>
        <w:t>roject</w:t>
      </w:r>
      <w:r w:rsidR="004A364C">
        <w:rPr>
          <w:b/>
          <w:bCs/>
          <w:i/>
          <w:iCs/>
        </w:rPr>
        <w:t xml:space="preserve"> or behind the meter project</w:t>
      </w:r>
      <w:r w:rsidRPr="00951E99">
        <w:rPr>
          <w:b/>
          <w:bCs/>
          <w:i/>
          <w:iCs/>
        </w:rPr>
        <w:t>.</w:t>
      </w:r>
    </w:p>
  </w:footnote>
  <w:footnote w:id="36">
    <w:p w14:paraId="4CE2B95A" w14:textId="7DB3A31B" w:rsidR="0071606E" w:rsidRDefault="0071606E">
      <w:pPr>
        <w:pStyle w:val="FootnoteText"/>
      </w:pPr>
      <w:r>
        <w:rPr>
          <w:rStyle w:val="FootnoteReference"/>
        </w:rPr>
        <w:footnoteRef/>
      </w:r>
      <w:r>
        <w:t xml:space="preserve"> </w:t>
      </w:r>
      <w:r w:rsidRPr="0071606E">
        <w:rPr>
          <w:b/>
          <w:bCs/>
          <w:i/>
          <w:iCs/>
        </w:rPr>
        <w:t>Drafting Note: If Seller is PG&amp;E, delete all provisions in this Article and add: “The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w:t>
      </w:r>
    </w:p>
  </w:footnote>
  <w:footnote w:id="37">
    <w:p w14:paraId="265DDE70" w14:textId="6BBE54DD" w:rsidR="00120E66" w:rsidRDefault="00120E66">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r w:rsidR="00E9534E">
        <w:rPr>
          <w:b/>
          <w:bCs/>
          <w:i/>
          <w:iCs/>
        </w:rPr>
        <w:t xml:space="preserve"> and replace with [Reserved]</w:t>
      </w:r>
      <w:r w:rsidR="001C12AE">
        <w:rPr>
          <w:b/>
          <w:bCs/>
          <w:i/>
          <w:iCs/>
        </w:rPr>
        <w:t xml:space="preserve">. </w:t>
      </w:r>
    </w:p>
  </w:footnote>
  <w:footnote w:id="38">
    <w:p w14:paraId="3A392C9D" w14:textId="2BAA33F0" w:rsidR="00275FE4" w:rsidRDefault="00275FE4">
      <w:pPr>
        <w:pStyle w:val="FootnoteText"/>
      </w:pPr>
      <w:r>
        <w:rPr>
          <w:rStyle w:val="FootnoteReference"/>
        </w:rPr>
        <w:footnoteRef/>
      </w:r>
      <w:r>
        <w:t xml:space="preserve"> </w:t>
      </w:r>
      <w:r w:rsidRPr="00275FE4">
        <w:rPr>
          <w:b/>
          <w:bCs/>
          <w:i/>
          <w:iCs/>
        </w:rPr>
        <w:t>Drafting Note: Delete and add “[Reserved.]” if Seller is PG&amp;E.</w:t>
      </w:r>
    </w:p>
  </w:footnote>
  <w:footnote w:id="39">
    <w:p w14:paraId="01C00D2A" w14:textId="67AB2093" w:rsidR="0041580A" w:rsidRDefault="0041580A">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p>
  </w:footnote>
  <w:footnote w:id="40">
    <w:p w14:paraId="06EF1B39" w14:textId="77777777" w:rsidR="008874B9" w:rsidRDefault="008874B9" w:rsidP="00145416">
      <w:pPr>
        <w:pStyle w:val="FootnoteText"/>
      </w:pPr>
      <w:r>
        <w:rPr>
          <w:rStyle w:val="FootnoteReference"/>
        </w:rPr>
        <w:footnoteRef/>
      </w:r>
      <w:r>
        <w:t xml:space="preserve"> </w:t>
      </w:r>
      <w:r w:rsidRPr="00145416">
        <w:rPr>
          <w:b/>
          <w:bCs/>
          <w:i/>
          <w:iCs/>
        </w:rPr>
        <w:t xml:space="preserve">Drafting Note: To be updated as necessary. </w:t>
      </w:r>
    </w:p>
  </w:footnote>
  <w:footnote w:id="41">
    <w:p w14:paraId="3B7E7EB9" w14:textId="75153D8E" w:rsidR="00FE3633" w:rsidRDefault="00FE3633">
      <w:pPr>
        <w:pStyle w:val="FootnoteText"/>
      </w:pPr>
      <w:r>
        <w:rPr>
          <w:rStyle w:val="FootnoteReference"/>
        </w:rPr>
        <w:footnoteRef/>
      </w:r>
      <w:r>
        <w:t xml:space="preserve"> </w:t>
      </w:r>
      <w:r w:rsidRPr="00FE3633">
        <w:rPr>
          <w:b/>
          <w:bCs/>
          <w:i/>
          <w:iCs/>
        </w:rPr>
        <w:t>Drafting Note: Delete this defined term if Seller is PG&amp;E.</w:t>
      </w:r>
    </w:p>
  </w:footnote>
  <w:footnote w:id="42">
    <w:p w14:paraId="41BF0665" w14:textId="7E745183" w:rsidR="009D0A06" w:rsidRDefault="009D0A06">
      <w:pPr>
        <w:pStyle w:val="FootnoteText"/>
      </w:pPr>
      <w:r>
        <w:rPr>
          <w:rStyle w:val="FootnoteReference"/>
        </w:rPr>
        <w:footnoteRef/>
      </w:r>
      <w:r>
        <w:t xml:space="preserve"> </w:t>
      </w:r>
      <w:r w:rsidRPr="00FE3633">
        <w:rPr>
          <w:b/>
          <w:bCs/>
          <w:i/>
          <w:iCs/>
        </w:rPr>
        <w:t>Drafting Note: Delete this defined term if Seller is PG&amp;E.</w:t>
      </w:r>
    </w:p>
  </w:footnote>
  <w:footnote w:id="43">
    <w:p w14:paraId="3AD056CB" w14:textId="261D6F61" w:rsidR="009D0A06" w:rsidRDefault="009D0A06">
      <w:pPr>
        <w:pStyle w:val="FootnoteText"/>
      </w:pPr>
      <w:r>
        <w:rPr>
          <w:rStyle w:val="FootnoteReference"/>
        </w:rPr>
        <w:footnoteRef/>
      </w:r>
      <w:r>
        <w:t xml:space="preserve"> </w:t>
      </w:r>
      <w:r w:rsidRPr="00FE3633">
        <w:rPr>
          <w:b/>
          <w:bCs/>
          <w:i/>
          <w:iCs/>
        </w:rPr>
        <w:t>Drafting Note: Delete th</w:t>
      </w:r>
      <w:r>
        <w:rPr>
          <w:b/>
          <w:bCs/>
          <w:i/>
          <w:iCs/>
        </w:rPr>
        <w:t xml:space="preserve">ese defined terms </w:t>
      </w:r>
      <w:r w:rsidRPr="00FE3633">
        <w:rPr>
          <w:b/>
          <w:bCs/>
          <w:i/>
          <w:iCs/>
        </w:rPr>
        <w:t>if Seller is PG&amp;E.</w:t>
      </w:r>
    </w:p>
  </w:footnote>
  <w:footnote w:id="44">
    <w:p w14:paraId="4F678BD7" w14:textId="3FD6DFA2" w:rsidR="009D0A06" w:rsidRDefault="009D0A06">
      <w:pPr>
        <w:pStyle w:val="FootnoteText"/>
      </w:pPr>
      <w:r>
        <w:rPr>
          <w:rStyle w:val="FootnoteReference"/>
        </w:rPr>
        <w:footnoteRef/>
      </w:r>
      <w:r>
        <w:t xml:space="preserve"> </w:t>
      </w:r>
      <w:r w:rsidRPr="00FE3633">
        <w:rPr>
          <w:b/>
          <w:bCs/>
          <w:i/>
          <w:iCs/>
        </w:rPr>
        <w:t>Drafting Note: Delete th</w:t>
      </w:r>
      <w:r>
        <w:rPr>
          <w:b/>
          <w:bCs/>
          <w:i/>
          <w:iCs/>
        </w:rPr>
        <w:t xml:space="preserve">ese defined terms </w:t>
      </w:r>
      <w:r w:rsidRPr="00FE3633">
        <w:rPr>
          <w:b/>
          <w:bCs/>
          <w:i/>
          <w:iCs/>
        </w:rPr>
        <w:t>if Seller is PG&amp;E.</w:t>
      </w:r>
    </w:p>
  </w:footnote>
  <w:footnote w:id="45">
    <w:p w14:paraId="27CFD74B" w14:textId="5C938B8C" w:rsidR="009D0A06" w:rsidRDefault="009D0A06">
      <w:pPr>
        <w:pStyle w:val="FootnoteText"/>
      </w:pPr>
      <w:r>
        <w:rPr>
          <w:rStyle w:val="FootnoteReference"/>
        </w:rPr>
        <w:footnoteRef/>
      </w:r>
      <w:r>
        <w:t xml:space="preserve"> </w:t>
      </w:r>
      <w:r w:rsidRPr="00FE3633">
        <w:rPr>
          <w:b/>
          <w:bCs/>
          <w:i/>
          <w:iCs/>
        </w:rPr>
        <w:t>Drafting Note: Delete th</w:t>
      </w:r>
      <w:r>
        <w:rPr>
          <w:b/>
          <w:bCs/>
          <w:i/>
          <w:iCs/>
        </w:rPr>
        <w:t xml:space="preserve">ese defined terms </w:t>
      </w:r>
      <w:r w:rsidRPr="00FE3633">
        <w:rPr>
          <w:b/>
          <w:bCs/>
          <w:i/>
          <w:iCs/>
        </w:rPr>
        <w:t>if Seller is PG&amp;E.</w:t>
      </w:r>
    </w:p>
  </w:footnote>
  <w:footnote w:id="46">
    <w:p w14:paraId="265ABC1E" w14:textId="7BBB8C3E" w:rsidR="009D0A06" w:rsidRDefault="009D0A06">
      <w:pPr>
        <w:pStyle w:val="FootnoteText"/>
      </w:pPr>
      <w:r>
        <w:rPr>
          <w:rStyle w:val="FootnoteReference"/>
        </w:rPr>
        <w:footnoteRef/>
      </w:r>
      <w:r>
        <w:t xml:space="preserve"> </w:t>
      </w:r>
      <w:r w:rsidRPr="00FE3633">
        <w:rPr>
          <w:b/>
          <w:bCs/>
          <w:i/>
          <w:iCs/>
        </w:rPr>
        <w:t>Drafting Note: Delete th</w:t>
      </w:r>
      <w:r>
        <w:rPr>
          <w:b/>
          <w:bCs/>
          <w:i/>
          <w:iCs/>
        </w:rPr>
        <w:t xml:space="preserve">is defined term </w:t>
      </w:r>
      <w:r w:rsidRPr="00FE3633">
        <w:rPr>
          <w:b/>
          <w:bCs/>
          <w:i/>
          <w:iCs/>
        </w:rPr>
        <w:t>if Seller is PG&amp;E.</w:t>
      </w:r>
    </w:p>
  </w:footnote>
  <w:footnote w:id="47">
    <w:p w14:paraId="07080003" w14:textId="7818A1B4" w:rsidR="009D0A06" w:rsidRDefault="009D0A06">
      <w:pPr>
        <w:pStyle w:val="FootnoteText"/>
      </w:pPr>
      <w:r>
        <w:rPr>
          <w:rStyle w:val="FootnoteReference"/>
        </w:rPr>
        <w:footnoteRef/>
      </w:r>
      <w:r>
        <w:t xml:space="preserve"> </w:t>
      </w:r>
      <w:r w:rsidRPr="00FE3633">
        <w:rPr>
          <w:b/>
          <w:bCs/>
          <w:i/>
          <w:iCs/>
        </w:rPr>
        <w:t>Drafting Note: Delete th</w:t>
      </w:r>
      <w:r>
        <w:rPr>
          <w:b/>
          <w:bCs/>
          <w:i/>
          <w:iCs/>
        </w:rPr>
        <w:t xml:space="preserve">is defined term </w:t>
      </w:r>
      <w:r w:rsidRPr="00FE3633">
        <w:rPr>
          <w:b/>
          <w:bCs/>
          <w:i/>
          <w:iCs/>
        </w:rPr>
        <w:t>if Seller is PG&amp;E.</w:t>
      </w:r>
    </w:p>
  </w:footnote>
  <w:footnote w:id="48">
    <w:p w14:paraId="22A8297A" w14:textId="11224CB6" w:rsidR="008874B9" w:rsidRDefault="008874B9">
      <w:pPr>
        <w:pStyle w:val="FootnoteText"/>
      </w:pPr>
      <w:r>
        <w:rPr>
          <w:rStyle w:val="FootnoteReference"/>
        </w:rPr>
        <w:footnoteRef/>
      </w:r>
      <w:r>
        <w:t xml:space="preserve"> </w:t>
      </w:r>
      <w:r w:rsidRPr="00253890">
        <w:rPr>
          <w:b/>
          <w:bCs/>
          <w:i/>
          <w:iCs/>
        </w:rPr>
        <w:t xml:space="preserve">Drafting Note: Delete if Seller will not be providing a Guaranty under this Agreement. </w:t>
      </w:r>
    </w:p>
  </w:footnote>
  <w:footnote w:id="49">
    <w:p w14:paraId="57C51947" w14:textId="0EA2B279" w:rsidR="002A0256" w:rsidRDefault="002A0256">
      <w:pPr>
        <w:pStyle w:val="FootnoteText"/>
      </w:pPr>
      <w:r>
        <w:rPr>
          <w:rStyle w:val="FootnoteReference"/>
        </w:rPr>
        <w:footnoteRef/>
      </w:r>
      <w:r>
        <w:t xml:space="preserve"> </w:t>
      </w:r>
      <w:r w:rsidRPr="00284CE8">
        <w:rPr>
          <w:b/>
          <w:bCs/>
          <w:i/>
          <w:iCs/>
        </w:rPr>
        <w:t xml:space="preserve">Drafting Note: Delete </w:t>
      </w:r>
      <w:r>
        <w:rPr>
          <w:b/>
          <w:bCs/>
          <w:i/>
          <w:iCs/>
        </w:rPr>
        <w:t xml:space="preserve">if Project is not </w:t>
      </w:r>
      <w:r w:rsidR="004A364C">
        <w:rPr>
          <w:b/>
          <w:bCs/>
          <w:i/>
          <w:iCs/>
        </w:rPr>
        <w:t>a behind the meter project</w:t>
      </w:r>
      <w:r>
        <w:rPr>
          <w:b/>
          <w:bCs/>
          <w:i/>
          <w:iCs/>
        </w:rPr>
        <w:t>.</w:t>
      </w:r>
    </w:p>
  </w:footnote>
  <w:footnote w:id="50">
    <w:p w14:paraId="022B6773" w14:textId="721DA446" w:rsidR="009D0A06" w:rsidRDefault="009D0A06">
      <w:pPr>
        <w:pStyle w:val="FootnoteText"/>
      </w:pPr>
      <w:r>
        <w:rPr>
          <w:rStyle w:val="FootnoteReference"/>
        </w:rPr>
        <w:footnoteRef/>
      </w:r>
      <w:r>
        <w:t xml:space="preserve"> </w:t>
      </w:r>
      <w:r w:rsidRPr="00FE3633">
        <w:rPr>
          <w:b/>
          <w:bCs/>
          <w:i/>
          <w:iCs/>
        </w:rPr>
        <w:t>Drafting Note: Delete th</w:t>
      </w:r>
      <w:r>
        <w:rPr>
          <w:b/>
          <w:bCs/>
          <w:i/>
          <w:iCs/>
        </w:rPr>
        <w:t xml:space="preserve">is defined term </w:t>
      </w:r>
      <w:r w:rsidRPr="00FE3633">
        <w:rPr>
          <w:b/>
          <w:bCs/>
          <w:i/>
          <w:iCs/>
        </w:rPr>
        <w:t>if Seller is PG&amp;E.</w:t>
      </w:r>
    </w:p>
  </w:footnote>
  <w:footnote w:id="51">
    <w:p w14:paraId="52F00987" w14:textId="77777777" w:rsidR="008874B9" w:rsidRDefault="008874B9" w:rsidP="00755FE1">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 xml:space="preserve">ote: </w:t>
      </w:r>
      <w:r>
        <w:rPr>
          <w:b/>
          <w:bCs/>
          <w:i/>
          <w:iCs/>
        </w:rPr>
        <w:t xml:space="preserve">Indicate </w:t>
      </w:r>
      <w:r w:rsidRPr="006137E8">
        <w:rPr>
          <w:b/>
          <w:bCs/>
          <w:i/>
          <w:iCs/>
        </w:rPr>
        <w:t xml:space="preserve">if the Project is located behind or front of the retail meter. </w:t>
      </w:r>
    </w:p>
  </w:footnote>
  <w:footnote w:id="52">
    <w:p w14:paraId="5DAA5443" w14:textId="77777777" w:rsidR="008874B9" w:rsidRDefault="008874B9" w:rsidP="00755FE1">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ote:</w:t>
      </w:r>
      <w:r>
        <w:rPr>
          <w:b/>
          <w:bCs/>
          <w:i/>
          <w:iCs/>
        </w:rPr>
        <w:t xml:space="preserve"> Indicate i</w:t>
      </w:r>
      <w:r w:rsidRPr="006137E8">
        <w:rPr>
          <w:b/>
          <w:bCs/>
          <w:i/>
          <w:iCs/>
        </w:rPr>
        <w:t>f</w:t>
      </w:r>
      <w:r>
        <w:rPr>
          <w:b/>
          <w:bCs/>
          <w:i/>
          <w:iCs/>
        </w:rPr>
        <w:t xml:space="preserve"> Energy Settlement will be part of this agreement</w:t>
      </w:r>
      <w:r w:rsidRPr="006137E8">
        <w:rPr>
          <w:b/>
          <w:bCs/>
          <w:i/>
          <w:iCs/>
        </w:rPr>
        <w:t>.</w:t>
      </w:r>
    </w:p>
  </w:footnote>
  <w:footnote w:id="53">
    <w:p w14:paraId="22864125" w14:textId="638C39D9" w:rsidR="00687F76" w:rsidRDefault="00687F76">
      <w:pPr>
        <w:pStyle w:val="FootnoteText"/>
      </w:pPr>
      <w:r>
        <w:rPr>
          <w:rStyle w:val="FootnoteReference"/>
        </w:rPr>
        <w:footnoteRef/>
      </w:r>
      <w:r>
        <w:t xml:space="preserve"> </w:t>
      </w:r>
      <w:r>
        <w:rPr>
          <w:b/>
          <w:bCs/>
          <w:i/>
          <w:iCs/>
        </w:rPr>
        <w:t>Drafting Note: Remove is Energy Settlement will not be a part of this agreement</w:t>
      </w:r>
    </w:p>
  </w:footnote>
  <w:footnote w:id="54">
    <w:p w14:paraId="6E4DB9C5" w14:textId="77777777" w:rsidR="00E30D29" w:rsidRDefault="00E30D29" w:rsidP="00E30D29">
      <w:pPr>
        <w:pStyle w:val="FootnoteText"/>
      </w:pPr>
      <w:r>
        <w:rPr>
          <w:rStyle w:val="FootnoteReference"/>
        </w:rPr>
        <w:footnoteRef/>
      </w:r>
      <w:r>
        <w:t xml:space="preserve"> </w:t>
      </w:r>
      <w:r w:rsidRPr="00420AF4">
        <w:rPr>
          <w:b/>
          <w:bCs/>
          <w:i/>
          <w:iCs/>
        </w:rPr>
        <w:t xml:space="preserve">Drafting Note: </w:t>
      </w:r>
      <w:r>
        <w:rPr>
          <w:b/>
          <w:bCs/>
          <w:i/>
          <w:iCs/>
        </w:rPr>
        <w:t xml:space="preserve">Product will either be (A) a percentage of the </w:t>
      </w:r>
      <w:r w:rsidRPr="00420AF4">
        <w:rPr>
          <w:b/>
          <w:bCs/>
          <w:i/>
          <w:iCs/>
        </w:rPr>
        <w:t>Capacity Attributes</w:t>
      </w:r>
      <w:r>
        <w:rPr>
          <w:b/>
          <w:bCs/>
          <w:i/>
          <w:iCs/>
        </w:rPr>
        <w:t xml:space="preserve"> produced by the Project for Dispatchable resources or (B) a </w:t>
      </w:r>
      <w:r w:rsidRPr="00420AF4">
        <w:rPr>
          <w:b/>
          <w:bCs/>
          <w:i/>
          <w:iCs/>
        </w:rPr>
        <w:t xml:space="preserve">fixed </w:t>
      </w:r>
      <w:r>
        <w:rPr>
          <w:b/>
          <w:bCs/>
          <w:i/>
          <w:iCs/>
        </w:rPr>
        <w:t xml:space="preserve">amount of </w:t>
      </w:r>
      <w:r w:rsidRPr="00420AF4">
        <w:rPr>
          <w:b/>
          <w:bCs/>
          <w:i/>
          <w:iCs/>
        </w:rPr>
        <w:t>MW</w:t>
      </w:r>
      <w:r>
        <w:rPr>
          <w:b/>
          <w:bCs/>
          <w:i/>
          <w:iCs/>
        </w:rPr>
        <w:t xml:space="preserve"> for all other resources. </w:t>
      </w:r>
    </w:p>
  </w:footnote>
  <w:footnote w:id="55">
    <w:p w14:paraId="1195207A" w14:textId="051CBAC3" w:rsidR="002D508F" w:rsidRDefault="002D508F">
      <w:pPr>
        <w:pStyle w:val="FootnoteText"/>
      </w:pPr>
      <w:r>
        <w:rPr>
          <w:rStyle w:val="FootnoteReference"/>
        </w:rPr>
        <w:footnoteRef/>
      </w:r>
      <w:r>
        <w:t xml:space="preserve"> </w:t>
      </w:r>
      <w:r>
        <w:rPr>
          <w:b/>
          <w:bCs/>
          <w:i/>
          <w:iCs/>
        </w:rPr>
        <w:t>Drafting Note: Payment Quantity is equal to the RA Attributes on the Execution Date</w:t>
      </w:r>
    </w:p>
  </w:footnote>
  <w:footnote w:id="56">
    <w:p w14:paraId="36DCA544" w14:textId="77777777" w:rsidR="00E30D29" w:rsidRDefault="00E30D29" w:rsidP="00E30D29">
      <w:pPr>
        <w:pStyle w:val="FootnoteText"/>
      </w:pPr>
      <w:r>
        <w:rPr>
          <w:rStyle w:val="FootnoteReference"/>
        </w:rPr>
        <w:footnoteRef/>
      </w:r>
      <w:r>
        <w:t xml:space="preserve"> </w:t>
      </w:r>
      <w:r w:rsidRPr="00420AF4">
        <w:rPr>
          <w:b/>
          <w:bCs/>
          <w:i/>
          <w:iCs/>
        </w:rPr>
        <w:t xml:space="preserve">Drafting Note: </w:t>
      </w:r>
      <w:r>
        <w:rPr>
          <w:b/>
          <w:bCs/>
          <w:i/>
          <w:iCs/>
        </w:rPr>
        <w:t>If Seller has selected Energy Settlement Option 3, delete</w:t>
      </w:r>
    </w:p>
  </w:footnote>
  <w:footnote w:id="57">
    <w:p w14:paraId="6A6F6E78" w14:textId="460EC7D1" w:rsidR="008874B9" w:rsidRDefault="008874B9">
      <w:pPr>
        <w:pStyle w:val="FootnoteText"/>
      </w:pPr>
      <w:r>
        <w:rPr>
          <w:rStyle w:val="FootnoteReference"/>
        </w:rPr>
        <w:footnoteRef/>
      </w:r>
      <w:r>
        <w:t xml:space="preserve"> </w:t>
      </w:r>
      <w:r w:rsidRPr="007F1C98">
        <w:rPr>
          <w:b/>
          <w:bCs/>
          <w:i/>
          <w:iCs/>
        </w:rPr>
        <w:t>Drafting Note</w:t>
      </w:r>
      <w:r>
        <w:rPr>
          <w:b/>
          <w:bCs/>
          <w:i/>
          <w:iCs/>
        </w:rPr>
        <w:t>: If Seller has not selected Energy Settlement Option 2, delete</w:t>
      </w:r>
    </w:p>
  </w:footnote>
  <w:footnote w:id="58">
    <w:p w14:paraId="45C37D5A" w14:textId="3E6A4E9E" w:rsidR="009D0A06" w:rsidRDefault="009D0A06">
      <w:pPr>
        <w:pStyle w:val="FootnoteText"/>
      </w:pPr>
      <w:r>
        <w:rPr>
          <w:rStyle w:val="FootnoteReference"/>
        </w:rPr>
        <w:footnoteRef/>
      </w:r>
      <w:r>
        <w:t xml:space="preserve"> </w:t>
      </w:r>
      <w:r w:rsidRPr="009D0A06">
        <w:rPr>
          <w:b/>
          <w:bCs/>
          <w:i/>
          <w:iCs/>
        </w:rPr>
        <w:t>Drafting Note: Delete the forms and replace with “Appendix VII [Reserved]” if Seller is PG&amp;E.]</w:t>
      </w:r>
    </w:p>
  </w:footnote>
  <w:footnote w:id="59">
    <w:p w14:paraId="75D323BB" w14:textId="05989F66" w:rsidR="008874B9" w:rsidRDefault="008874B9">
      <w:pPr>
        <w:pStyle w:val="FootnoteText"/>
      </w:pPr>
      <w:r>
        <w:rPr>
          <w:rStyle w:val="FootnoteReference"/>
        </w:rPr>
        <w:footnoteRef/>
      </w:r>
      <w:r>
        <w:t xml:space="preserve"> </w:t>
      </w:r>
      <w:r>
        <w:rPr>
          <w:b/>
          <w:i/>
        </w:rPr>
        <w:t xml:space="preserve">Drafting Note: </w:t>
      </w:r>
      <w:r w:rsidRPr="004F5012">
        <w:rPr>
          <w:b/>
          <w:i/>
        </w:rPr>
        <w:t>Cha</w:t>
      </w:r>
      <w:r>
        <w:rPr>
          <w:b/>
          <w:i/>
        </w:rPr>
        <w:t xml:space="preserve">nge </w:t>
      </w:r>
      <w:r w:rsidRPr="004F5012">
        <w:rPr>
          <w:b/>
          <w:i/>
        </w:rPr>
        <w:t xml:space="preserve">to “Appendix </w:t>
      </w:r>
      <w:r>
        <w:rPr>
          <w:b/>
          <w:i/>
        </w:rPr>
        <w:t>VII</w:t>
      </w:r>
      <w:r w:rsidRPr="004F5012">
        <w:rPr>
          <w:b/>
          <w:i/>
        </w:rPr>
        <w:t xml:space="preserve"> – </w:t>
      </w:r>
      <w:r>
        <w:rPr>
          <w:b/>
          <w:i/>
        </w:rPr>
        <w:t>Reserved</w:t>
      </w:r>
      <w:r w:rsidRPr="004F5012">
        <w:rPr>
          <w:b/>
          <w:i/>
        </w:rPr>
        <w:t>” if Project</w:t>
      </w:r>
      <w:r>
        <w:rPr>
          <w:b/>
          <w:i/>
        </w:rPr>
        <w:t xml:space="preserve"> is not an energy storage project. If there are other specific Project technology requirements, add them to Appendix XIV. </w:t>
      </w:r>
    </w:p>
  </w:footnote>
  <w:footnote w:id="60">
    <w:p w14:paraId="69B6C9AE" w14:textId="2E129B8B" w:rsidR="008874B9" w:rsidRDefault="008874B9">
      <w:pPr>
        <w:pStyle w:val="FootnoteText"/>
      </w:pPr>
      <w:r>
        <w:rPr>
          <w:rStyle w:val="FootnoteReference"/>
        </w:rPr>
        <w:footnoteRef/>
      </w:r>
      <w:r>
        <w:t xml:space="preserve"> </w:t>
      </w:r>
      <w:r w:rsidRPr="00A40428">
        <w:rPr>
          <w:b/>
          <w:bCs/>
          <w:i/>
          <w:iCs/>
        </w:rPr>
        <w:t>Drafting Note: applicable to energy storage technologies who offer an energy settlement option.</w:t>
      </w:r>
    </w:p>
  </w:footnote>
  <w:footnote w:id="61">
    <w:p w14:paraId="0FC94BD6" w14:textId="619A3ACB" w:rsidR="0081166A" w:rsidRDefault="0081166A">
      <w:pPr>
        <w:pStyle w:val="FootnoteText"/>
      </w:pPr>
      <w:r>
        <w:rPr>
          <w:rStyle w:val="FootnoteReference"/>
        </w:rPr>
        <w:footnoteRef/>
      </w:r>
      <w:r>
        <w:t xml:space="preserve"> </w:t>
      </w:r>
      <w:r>
        <w:rPr>
          <w:b/>
          <w:bCs/>
          <w:i/>
          <w:iCs/>
        </w:rPr>
        <w:t>Drafting Note:  Only applicable to Behind the Meter or Energy Storage Projects.  If not applicable, delete and replace with [Reserved].</w:t>
      </w:r>
    </w:p>
  </w:footnote>
  <w:footnote w:id="62">
    <w:p w14:paraId="400EA1DD" w14:textId="77777777" w:rsidR="008874B9" w:rsidRDefault="008874B9" w:rsidP="00C34DB6">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C34DB6">
        <w:rPr>
          <w:b/>
          <w:i/>
        </w:rPr>
        <w:t>“MUA Decision” means CPUC</w:t>
      </w:r>
      <w:r>
        <w:rPr>
          <w:b/>
          <w:i/>
        </w:rPr>
        <w:t xml:space="preserve"> </w:t>
      </w:r>
      <w:r w:rsidRPr="00C34DB6">
        <w:rPr>
          <w:b/>
          <w:i/>
        </w:rPr>
        <w:t>Decision 18-01-003 on Multiple-Use Application Issues, issued January 17, 2018, regarding the multi</w:t>
      </w:r>
      <w:r>
        <w:rPr>
          <w:b/>
          <w:i/>
        </w:rPr>
        <w:t xml:space="preserve">purpose </w:t>
      </w:r>
      <w:r w:rsidRPr="00C34DB6">
        <w:rPr>
          <w:b/>
          <w:i/>
        </w:rPr>
        <w:t>applications of energy storage facilities</w:t>
      </w:r>
      <w:r>
        <w:rPr>
          <w:b/>
          <w:i/>
        </w:rPr>
        <w:t>” AND “</w:t>
      </w:r>
      <w:r w:rsidRPr="00C34DB6">
        <w:rPr>
          <w:b/>
          <w:i/>
        </w:rPr>
        <w:t>.“MUA” means multiple-use</w:t>
      </w:r>
      <w:r>
        <w:rPr>
          <w:b/>
          <w:i/>
        </w:rPr>
        <w:t xml:space="preserve"> </w:t>
      </w:r>
      <w:r w:rsidRPr="00C34DB6">
        <w:rPr>
          <w:b/>
          <w:i/>
        </w:rPr>
        <w:t>applications as such term applies to energy storage facilities.</w:t>
      </w:r>
    </w:p>
  </w:footnote>
  <w:footnote w:id="63">
    <w:p w14:paraId="0C64688A" w14:textId="77777777" w:rsidR="008874B9" w:rsidRDefault="008874B9" w:rsidP="009F63B9">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9F63B9">
        <w:rPr>
          <w:b/>
          <w:i/>
        </w:rPr>
        <w:t>“Charging Energy” means the</w:t>
      </w:r>
      <w:r>
        <w:rPr>
          <w:b/>
          <w:i/>
        </w:rPr>
        <w:t xml:space="preserve"> </w:t>
      </w:r>
      <w:r w:rsidRPr="009F63B9">
        <w:rPr>
          <w:b/>
          <w:i/>
        </w:rPr>
        <w:t>amount of Energy withdrawn from the Utility Distribution Company’s electrical system, Participating</w:t>
      </w:r>
      <w:r>
        <w:rPr>
          <w:b/>
          <w:i/>
        </w:rPr>
        <w:t xml:space="preserve"> </w:t>
      </w:r>
      <w:r w:rsidRPr="009F63B9">
        <w:rPr>
          <w:b/>
          <w:i/>
        </w:rPr>
        <w:t>Transmission Owner’s electrical system or the CAISO Grid to be stored by the Project</w:t>
      </w:r>
      <w:r>
        <w:rPr>
          <w:b/>
          <w:i/>
        </w:rPr>
        <w:t xml:space="preserve">.” </w:t>
      </w:r>
    </w:p>
  </w:footnote>
  <w:footnote w:id="64">
    <w:p w14:paraId="5B68BF68" w14:textId="3918B91A" w:rsidR="008874B9" w:rsidRDefault="008874B9">
      <w:pPr>
        <w:pStyle w:val="FootnoteText"/>
      </w:pPr>
      <w:r>
        <w:rPr>
          <w:rStyle w:val="FootnoteReference"/>
        </w:rPr>
        <w:footnoteRef/>
      </w:r>
      <w:r>
        <w:t xml:space="preserve"> </w:t>
      </w:r>
      <w:r w:rsidRPr="00831311">
        <w:rPr>
          <w:b/>
          <w:bCs/>
          <w:i/>
          <w:iCs/>
        </w:rPr>
        <w:t>Drafting Note</w:t>
      </w:r>
      <w:r>
        <w:rPr>
          <w:b/>
          <w:bCs/>
          <w:i/>
          <w:iCs/>
        </w:rPr>
        <w:t>:</w:t>
      </w:r>
      <w:r w:rsidRPr="00831311">
        <w:rPr>
          <w:b/>
          <w:bCs/>
          <w:i/>
          <w:iCs/>
        </w:rPr>
        <w:t xml:space="preserve"> insert applicable energy settlement option from Seller’s Offer Form</w:t>
      </w:r>
      <w:r>
        <w:rPr>
          <w:b/>
          <w:bCs/>
          <w:i/>
          <w:iCs/>
        </w:rPr>
        <w:t>.</w:t>
      </w:r>
    </w:p>
  </w:footnote>
  <w:footnote w:id="65">
    <w:p w14:paraId="5F764ADA" w14:textId="771F722F" w:rsidR="008874B9" w:rsidRPr="004A4D60" w:rsidRDefault="008874B9" w:rsidP="0071486D">
      <w:pPr>
        <w:pStyle w:val="FootnoteText"/>
      </w:pPr>
      <w:r>
        <w:rPr>
          <w:rStyle w:val="FootnoteReference"/>
        </w:rPr>
        <w:footnoteRef/>
      </w:r>
      <w:r>
        <w:t xml:space="preserve"> </w:t>
      </w:r>
      <w:r w:rsidRPr="000456CA">
        <w:rPr>
          <w:b/>
          <w:bCs/>
          <w:i/>
          <w:iCs/>
        </w:rPr>
        <w:t xml:space="preserve">Drafting Note: Replace with Reserved if Energy Settlement Option </w:t>
      </w:r>
      <w:r>
        <w:rPr>
          <w:b/>
          <w:bCs/>
          <w:i/>
          <w:iCs/>
        </w:rPr>
        <w:t>3</w:t>
      </w:r>
      <w:r w:rsidRPr="000456CA">
        <w:rPr>
          <w:b/>
          <w:bCs/>
          <w:i/>
          <w:iCs/>
        </w:rPr>
        <w:t xml:space="preserve"> is not selected.</w:t>
      </w:r>
    </w:p>
  </w:footnote>
  <w:footnote w:id="66">
    <w:p w14:paraId="7BC74FC7" w14:textId="77777777" w:rsidR="008874B9" w:rsidRDefault="008874B9" w:rsidP="000456CA">
      <w:pPr>
        <w:pStyle w:val="FootnoteText"/>
      </w:pPr>
      <w:r>
        <w:rPr>
          <w:rStyle w:val="FootnoteReference"/>
        </w:rPr>
        <w:footnoteRef/>
      </w:r>
      <w:r>
        <w:t xml:space="preserve"> </w:t>
      </w:r>
      <w:r w:rsidRPr="007A071A">
        <w:rPr>
          <w:b/>
          <w:bCs/>
          <w:i/>
          <w:iCs/>
        </w:rPr>
        <w:t>Drafting Note: Insert a row for each Contract Month during the Delivery Term</w:t>
      </w:r>
      <w:r>
        <w:rPr>
          <w:b/>
          <w:bCs/>
          <w:i/>
          <w:iCs/>
        </w:rPr>
        <w:t>.</w:t>
      </w:r>
    </w:p>
  </w:footnote>
  <w:footnote w:id="67">
    <w:p w14:paraId="6A3B849F" w14:textId="020E8174" w:rsidR="008874B9" w:rsidRDefault="008874B9">
      <w:pPr>
        <w:pStyle w:val="FootnoteText"/>
      </w:pPr>
      <w:r>
        <w:rPr>
          <w:rStyle w:val="FootnoteReference"/>
        </w:rPr>
        <w:footnoteRef/>
      </w:r>
      <w:r>
        <w:t xml:space="preserve"> </w:t>
      </w:r>
      <w:r w:rsidRPr="000456CA">
        <w:rPr>
          <w:b/>
          <w:bCs/>
          <w:i/>
          <w:iCs/>
        </w:rPr>
        <w:t>Drafting Note: Replace with Reserved if Energy Settlement Option 4 is not selected.</w:t>
      </w:r>
    </w:p>
  </w:footnote>
  <w:footnote w:id="68">
    <w:p w14:paraId="79BB97DF" w14:textId="0188F4B8" w:rsidR="008874B9" w:rsidRDefault="008874B9" w:rsidP="000456CA">
      <w:pPr>
        <w:pStyle w:val="FootnoteText"/>
      </w:pPr>
      <w:r>
        <w:rPr>
          <w:rStyle w:val="FootnoteReference"/>
        </w:rPr>
        <w:footnoteRef/>
      </w:r>
      <w:r>
        <w:t xml:space="preserve"> </w:t>
      </w:r>
      <w:r w:rsidRPr="00B37267">
        <w:rPr>
          <w:b/>
          <w:bCs/>
          <w:i/>
          <w:iCs/>
        </w:rPr>
        <w:t>Drafting Note: Insert a row for each Contract Month during the Delivery Term</w:t>
      </w:r>
      <w:r>
        <w:rPr>
          <w:b/>
          <w:bCs/>
          <w:i/>
          <w:iCs/>
        </w:rPr>
        <w:t>.</w:t>
      </w:r>
    </w:p>
  </w:footnote>
  <w:footnote w:id="69">
    <w:p w14:paraId="5FD7A55E" w14:textId="77777777" w:rsidR="008874B9" w:rsidRDefault="008874B9" w:rsidP="00A66A55">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 of</w:t>
      </w:r>
      <w:r w:rsidRPr="00B63A83">
        <w:rPr>
          <w:b/>
          <w:bCs/>
          <w:i/>
          <w:iCs/>
        </w:rPr>
        <w:t xml:space="preserve"> the Meter Project.</w:t>
      </w:r>
    </w:p>
  </w:footnote>
  <w:footnote w:id="70">
    <w:p w14:paraId="7C3BE00D" w14:textId="2AC55AA9" w:rsidR="002A0256" w:rsidRDefault="002A0256">
      <w:pPr>
        <w:pStyle w:val="FootnoteText"/>
      </w:pPr>
      <w:r>
        <w:rPr>
          <w:rStyle w:val="FootnoteReference"/>
        </w:rPr>
        <w:footnoteRef/>
      </w:r>
      <w:r>
        <w:t xml:space="preserve"> </w:t>
      </w:r>
      <w:r w:rsidRPr="00284CE8">
        <w:rPr>
          <w:b/>
          <w:bCs/>
          <w:i/>
          <w:iCs/>
        </w:rPr>
        <w:t xml:space="preserve">Drafting Note: Delete </w:t>
      </w:r>
      <w:r>
        <w:rPr>
          <w:b/>
          <w:bCs/>
          <w:i/>
          <w:iCs/>
        </w:rPr>
        <w:t>this defined term if Project is not an energy storage project.</w:t>
      </w:r>
    </w:p>
  </w:footnote>
  <w:footnote w:id="71">
    <w:p w14:paraId="2F646A76" w14:textId="6DB4224B" w:rsidR="002A0256" w:rsidRDefault="002A0256">
      <w:pPr>
        <w:pStyle w:val="FootnoteText"/>
      </w:pPr>
      <w:r>
        <w:rPr>
          <w:rStyle w:val="FootnoteReference"/>
        </w:rPr>
        <w:footnoteRef/>
      </w:r>
      <w:r>
        <w:t xml:space="preserve"> </w:t>
      </w:r>
      <w:r w:rsidRPr="00284CE8">
        <w:rPr>
          <w:b/>
          <w:bCs/>
          <w:i/>
          <w:iCs/>
        </w:rPr>
        <w:t xml:space="preserve">Drafting Note: Delete </w:t>
      </w:r>
      <w:r>
        <w:rPr>
          <w:b/>
          <w:bCs/>
          <w:i/>
          <w:iCs/>
        </w:rPr>
        <w:t>this defined term if Project is not an energy storage project.</w:t>
      </w:r>
    </w:p>
  </w:footnote>
  <w:footnote w:id="72">
    <w:p w14:paraId="6EEFE329" w14:textId="77777777" w:rsidR="008874B9" w:rsidRDefault="008874B9" w:rsidP="00A66A55">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w:t>
      </w:r>
      <w:r w:rsidRPr="00B63A83">
        <w:rPr>
          <w:b/>
          <w:bCs/>
          <w:i/>
          <w:iCs/>
        </w:rPr>
        <w:t xml:space="preserve"> of the Meter Project.</w:t>
      </w:r>
    </w:p>
  </w:footnote>
  <w:footnote w:id="73">
    <w:p w14:paraId="03EA8ED7" w14:textId="77777777" w:rsidR="008874B9" w:rsidRDefault="008874B9" w:rsidP="00A66A55">
      <w:pPr>
        <w:pStyle w:val="FootnoteText"/>
      </w:pPr>
      <w:r>
        <w:rPr>
          <w:rStyle w:val="FootnoteReference"/>
        </w:rPr>
        <w:footnoteRef/>
      </w:r>
      <w:r>
        <w:t xml:space="preserve"> </w:t>
      </w:r>
      <w:r w:rsidRPr="00B63A83">
        <w:rPr>
          <w:b/>
          <w:bCs/>
          <w:i/>
          <w:iCs/>
        </w:rPr>
        <w:t xml:space="preserve">Drafting Note: Delete if the applicable Project is </w:t>
      </w:r>
      <w:r>
        <w:rPr>
          <w:b/>
          <w:bCs/>
          <w:i/>
          <w:iCs/>
        </w:rPr>
        <w:t>a Front</w:t>
      </w:r>
      <w:r w:rsidRPr="00B63A83">
        <w:rPr>
          <w:b/>
          <w:bCs/>
          <w:i/>
          <w:iCs/>
        </w:rPr>
        <w:t xml:space="preserve"> of the Meter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7BC" w14:textId="77777777" w:rsidR="00A1254C" w:rsidRDefault="00A125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281F" w14:textId="77777777" w:rsidR="00AD5F69" w:rsidRDefault="00AD5F69" w:rsidP="00AD5F69">
    <w:pPr>
      <w:pStyle w:val="Header"/>
      <w:jc w:val="right"/>
    </w:pPr>
    <w:r>
      <w:t>New Build Resource Form Agreement</w:t>
    </w:r>
  </w:p>
  <w:p w14:paraId="32DE0E98" w14:textId="615C99BC" w:rsidR="00AD5F69" w:rsidRDefault="00AD5F69" w:rsidP="00AD5F69">
    <w:pPr>
      <w:pStyle w:val="Header"/>
      <w:jc w:val="right"/>
    </w:pPr>
    <w:r>
      <w:t xml:space="preserve">PG&amp;E as CPE and </w:t>
    </w:r>
    <w:r w:rsidR="00874B2F">
      <w:t>Non-Owner as Seller</w:t>
    </w:r>
  </w:p>
  <w:p w14:paraId="0BE2B530" w14:textId="77777777" w:rsidR="00AD5F69" w:rsidRDefault="00AD5F69" w:rsidP="00AD5F69">
    <w:pPr>
      <w:pStyle w:val="Header"/>
      <w:jc w:val="right"/>
    </w:pPr>
    <w:r>
      <w:t>SUBJECT TO PG&amp;E CPE’S CONTINUED REVIEW AND REVISION</w:t>
    </w:r>
  </w:p>
  <w:p w14:paraId="52500FC9" w14:textId="77777777" w:rsidR="004A4D60" w:rsidRDefault="004A4D60" w:rsidP="00E245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C740" w14:textId="77777777" w:rsidR="00AD5F69" w:rsidRDefault="00AD5F69" w:rsidP="00AD5F69">
    <w:pPr>
      <w:pStyle w:val="Header"/>
      <w:jc w:val="right"/>
    </w:pPr>
    <w:r>
      <w:t>New Build Resource Form Agreement</w:t>
    </w:r>
  </w:p>
  <w:p w14:paraId="021AA218" w14:textId="3882B48A" w:rsidR="00AD5F69" w:rsidRDefault="00AD5F69" w:rsidP="00AD5F69">
    <w:pPr>
      <w:pStyle w:val="Header"/>
      <w:jc w:val="right"/>
    </w:pPr>
    <w:r>
      <w:t xml:space="preserve">PG&amp;E as CPE and </w:t>
    </w:r>
    <w:r w:rsidR="00874B2F">
      <w:t>Non-Owner as Seller</w:t>
    </w:r>
  </w:p>
  <w:p w14:paraId="52C91CE7" w14:textId="77777777" w:rsidR="00AD5F69" w:rsidRDefault="00AD5F69" w:rsidP="00AD5F69">
    <w:pPr>
      <w:pStyle w:val="Header"/>
      <w:jc w:val="right"/>
    </w:pPr>
    <w:r>
      <w:t>SUBJECT TO PG&amp;E CPE’S CONTINUED REVIEW AND REVISION</w:t>
    </w:r>
  </w:p>
  <w:p w14:paraId="49E44D6F" w14:textId="77777777" w:rsidR="004A4D60" w:rsidRDefault="004A4D60" w:rsidP="00E245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A32E" w14:textId="77777777" w:rsidR="00AD5F69" w:rsidRDefault="00AD5F69" w:rsidP="00AD5F69">
    <w:pPr>
      <w:pStyle w:val="Header"/>
      <w:jc w:val="right"/>
    </w:pPr>
    <w:r>
      <w:t>New Build Resource Form Agreement</w:t>
    </w:r>
  </w:p>
  <w:p w14:paraId="6047E4C4" w14:textId="0954D38D" w:rsidR="00AD5F69" w:rsidRDefault="00AD5F69" w:rsidP="00AD5F69">
    <w:pPr>
      <w:pStyle w:val="Header"/>
      <w:jc w:val="right"/>
    </w:pPr>
    <w:r>
      <w:t xml:space="preserve">PG&amp;E as CPE and </w:t>
    </w:r>
    <w:r w:rsidR="00874B2F">
      <w:t>Non-Owner as Seller</w:t>
    </w:r>
  </w:p>
  <w:p w14:paraId="412010DD" w14:textId="77777777" w:rsidR="00AD5F69" w:rsidRDefault="00AD5F69" w:rsidP="00AD5F69">
    <w:pPr>
      <w:pStyle w:val="Header"/>
      <w:jc w:val="right"/>
    </w:pPr>
    <w:r>
      <w:t>SUBJECT TO PG&amp;E CPE’S CONTINUED REVIEW AND REVISION</w:t>
    </w:r>
  </w:p>
  <w:p w14:paraId="5BC3017A" w14:textId="77777777" w:rsidR="004A4D60" w:rsidRDefault="004A4D60" w:rsidP="00E245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F8F" w14:textId="77777777" w:rsidR="00AD5F69" w:rsidRDefault="00AD5F69" w:rsidP="00AD5F69">
    <w:pPr>
      <w:pStyle w:val="Header"/>
      <w:jc w:val="right"/>
    </w:pPr>
    <w:r>
      <w:t>New Build Resource Form Agreement</w:t>
    </w:r>
  </w:p>
  <w:p w14:paraId="31DDEDAD" w14:textId="16446B4B" w:rsidR="00AD5F69" w:rsidRDefault="00AD5F69" w:rsidP="00AD5F69">
    <w:pPr>
      <w:pStyle w:val="Header"/>
      <w:jc w:val="right"/>
    </w:pPr>
    <w:r>
      <w:t xml:space="preserve">PG&amp;E as CPE and </w:t>
    </w:r>
    <w:r w:rsidR="00874B2F">
      <w:t>Non-Owner as Seller</w:t>
    </w:r>
  </w:p>
  <w:p w14:paraId="29F3DFB0" w14:textId="77777777" w:rsidR="00AD5F69" w:rsidRDefault="00AD5F69" w:rsidP="00AD5F69">
    <w:pPr>
      <w:pStyle w:val="Header"/>
      <w:jc w:val="right"/>
    </w:pPr>
    <w:r>
      <w:t>SUBJECT TO PG&amp;E CPE’S CONTINUED REVIEW AND REVISION</w:t>
    </w:r>
  </w:p>
  <w:p w14:paraId="59524207" w14:textId="77777777" w:rsidR="004A4D60" w:rsidRDefault="004A4D60" w:rsidP="00E245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CC76" w14:textId="77777777" w:rsidR="00AD5F69" w:rsidRDefault="00AD5F69" w:rsidP="00AD5F69">
    <w:pPr>
      <w:pStyle w:val="Header"/>
      <w:jc w:val="right"/>
    </w:pPr>
    <w:r>
      <w:t>New Build Resource Form Agreement</w:t>
    </w:r>
  </w:p>
  <w:p w14:paraId="5C3F8DA0" w14:textId="59D4D005" w:rsidR="00AD5F69" w:rsidRDefault="00AD5F69" w:rsidP="00AD5F69">
    <w:pPr>
      <w:pStyle w:val="Header"/>
      <w:jc w:val="right"/>
    </w:pPr>
    <w:r>
      <w:t xml:space="preserve">PG&amp;E as CPE and </w:t>
    </w:r>
    <w:r w:rsidR="00874B2F">
      <w:t>Non-Owner as Seller</w:t>
    </w:r>
  </w:p>
  <w:p w14:paraId="0D292D43" w14:textId="77777777" w:rsidR="00AD5F69" w:rsidRDefault="00AD5F69" w:rsidP="00AD5F69">
    <w:pPr>
      <w:pStyle w:val="Header"/>
      <w:jc w:val="right"/>
    </w:pPr>
    <w:r>
      <w:t>SUBJECT TO PG&amp;E CPE’S CONTINUED REVIEW AND REVISION</w:t>
    </w:r>
  </w:p>
  <w:p w14:paraId="1C1FC44F" w14:textId="77777777" w:rsidR="004A4D60" w:rsidRDefault="004A4D60" w:rsidP="00E245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3D4" w14:textId="77777777" w:rsidR="00AD5F69" w:rsidRDefault="00AD5F69" w:rsidP="00AD5F69">
    <w:pPr>
      <w:pStyle w:val="Header"/>
      <w:jc w:val="right"/>
    </w:pPr>
    <w:r>
      <w:t>New Build Resource Form Agreement</w:t>
    </w:r>
  </w:p>
  <w:p w14:paraId="6E41F39C" w14:textId="543D3D5C" w:rsidR="00AD5F69" w:rsidRDefault="00AD5F69" w:rsidP="00AD5F69">
    <w:pPr>
      <w:pStyle w:val="Header"/>
      <w:jc w:val="right"/>
    </w:pPr>
    <w:r>
      <w:t xml:space="preserve">PG&amp;E as CPE and </w:t>
    </w:r>
    <w:r w:rsidR="00874B2F">
      <w:t>Non-Owner as Seller</w:t>
    </w:r>
  </w:p>
  <w:p w14:paraId="732B9F54" w14:textId="77777777" w:rsidR="00AD5F69" w:rsidRDefault="00AD5F69" w:rsidP="00AD5F69">
    <w:pPr>
      <w:pStyle w:val="Header"/>
      <w:jc w:val="right"/>
    </w:pPr>
    <w:r>
      <w:t>SUBJECT TO PG&amp;E CPE’S CONTINUED REVIEW AND REVISION</w:t>
    </w:r>
  </w:p>
  <w:p w14:paraId="5BB15AEF" w14:textId="77777777" w:rsidR="004A4D60" w:rsidRDefault="004A4D60" w:rsidP="00E245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0895" w14:textId="77777777" w:rsidR="00AD5F69" w:rsidRDefault="00AD5F69" w:rsidP="00AD5F69">
    <w:pPr>
      <w:pStyle w:val="Header"/>
      <w:jc w:val="right"/>
    </w:pPr>
    <w:r>
      <w:t>New Build Resource Form Agreement</w:t>
    </w:r>
  </w:p>
  <w:p w14:paraId="024E1154" w14:textId="4C67E1B1" w:rsidR="00AD5F69" w:rsidRDefault="00AD5F69" w:rsidP="00AD5F69">
    <w:pPr>
      <w:pStyle w:val="Header"/>
      <w:jc w:val="right"/>
    </w:pPr>
    <w:r>
      <w:t xml:space="preserve">PG&amp;E as CPE and </w:t>
    </w:r>
    <w:r w:rsidR="00874B2F">
      <w:t>Non-Owner as Seller</w:t>
    </w:r>
  </w:p>
  <w:p w14:paraId="07FB7BCA" w14:textId="77777777" w:rsidR="00AD5F69" w:rsidRDefault="00AD5F69" w:rsidP="00AD5F69">
    <w:pPr>
      <w:pStyle w:val="Header"/>
      <w:jc w:val="right"/>
    </w:pPr>
    <w:r>
      <w:t>SUBJECT TO PG&amp;E CPE’S CONTINUED REVIEW AND REVISION</w:t>
    </w:r>
  </w:p>
  <w:p w14:paraId="492932C6" w14:textId="77777777" w:rsidR="004A4D60" w:rsidRDefault="004A4D60" w:rsidP="00E245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CBCD" w14:textId="77777777" w:rsidR="00AD5F69" w:rsidRDefault="00AD5F69" w:rsidP="00AD5F69">
    <w:pPr>
      <w:pStyle w:val="Header"/>
      <w:jc w:val="right"/>
    </w:pPr>
    <w:r>
      <w:t>New Build Resource Form Agreement</w:t>
    </w:r>
  </w:p>
  <w:p w14:paraId="32C6222F" w14:textId="484A1306" w:rsidR="00AD5F69" w:rsidRDefault="00AD5F69" w:rsidP="00AD5F69">
    <w:pPr>
      <w:pStyle w:val="Header"/>
      <w:jc w:val="right"/>
    </w:pPr>
    <w:r>
      <w:t xml:space="preserve">PG&amp;E as CPE and </w:t>
    </w:r>
    <w:r w:rsidR="00874B2F">
      <w:t>Non-Owner as Seller</w:t>
    </w:r>
  </w:p>
  <w:p w14:paraId="761A2D14" w14:textId="77777777" w:rsidR="00AD5F69" w:rsidRDefault="00AD5F69" w:rsidP="00AD5F69">
    <w:pPr>
      <w:pStyle w:val="Header"/>
      <w:jc w:val="right"/>
    </w:pPr>
    <w:r>
      <w:t>SUBJECT TO PG&amp;E CPE’S CONTINUED REVIEW AND REVISION</w:t>
    </w:r>
  </w:p>
  <w:p w14:paraId="734F2238" w14:textId="77777777" w:rsidR="004A4D60" w:rsidRDefault="004A4D60" w:rsidP="00E245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9A7" w14:textId="77777777" w:rsidR="00AD5F69" w:rsidRDefault="00AD5F69" w:rsidP="00AD5F69">
    <w:pPr>
      <w:pStyle w:val="Header"/>
      <w:jc w:val="right"/>
    </w:pPr>
    <w:r>
      <w:t>New Build Resource Form Agreement</w:t>
    </w:r>
  </w:p>
  <w:p w14:paraId="7006AAD3" w14:textId="5CC8B135" w:rsidR="00AD5F69" w:rsidRDefault="00AD5F69" w:rsidP="00AD5F69">
    <w:pPr>
      <w:pStyle w:val="Header"/>
      <w:jc w:val="right"/>
    </w:pPr>
    <w:r>
      <w:t xml:space="preserve">PG&amp;E as CPE and </w:t>
    </w:r>
    <w:r w:rsidR="00874B2F">
      <w:t>Non-Owner as Seller</w:t>
    </w:r>
  </w:p>
  <w:p w14:paraId="4AD454B7" w14:textId="77777777" w:rsidR="00AD5F69" w:rsidRDefault="00AD5F69" w:rsidP="00AD5F69">
    <w:pPr>
      <w:pStyle w:val="Header"/>
      <w:jc w:val="right"/>
    </w:pPr>
    <w:r>
      <w:t>SUBJECT TO PG&amp;E CPE’S CONTINUED REVIEW AND REVISION</w:t>
    </w:r>
  </w:p>
  <w:p w14:paraId="6E1DFF17" w14:textId="77777777" w:rsidR="004A4D60" w:rsidRDefault="004A4D60" w:rsidP="00E245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2F0" w14:textId="77777777" w:rsidR="00AD5F69" w:rsidRDefault="00AD5F69" w:rsidP="00AD5F69">
    <w:pPr>
      <w:pStyle w:val="Header"/>
      <w:jc w:val="right"/>
    </w:pPr>
    <w:r>
      <w:t>New Build Resource Form Agreement</w:t>
    </w:r>
  </w:p>
  <w:p w14:paraId="710F9A8A" w14:textId="1A432AE7" w:rsidR="00AD5F69" w:rsidRDefault="00AD5F69" w:rsidP="00AD5F69">
    <w:pPr>
      <w:pStyle w:val="Header"/>
      <w:jc w:val="right"/>
    </w:pPr>
    <w:r>
      <w:t xml:space="preserve">PG&amp;E as CPE and </w:t>
    </w:r>
    <w:r w:rsidR="00874B2F">
      <w:t>Non-Owner as Seller</w:t>
    </w:r>
  </w:p>
  <w:p w14:paraId="7EA899AA" w14:textId="77777777" w:rsidR="00AD5F69" w:rsidRDefault="00AD5F69" w:rsidP="00AD5F69">
    <w:pPr>
      <w:pStyle w:val="Header"/>
      <w:jc w:val="right"/>
    </w:pPr>
    <w:r>
      <w:t>SUBJECT TO PG&amp;E CPE’S CONTINUED REVIEW AND REVISION</w:t>
    </w:r>
  </w:p>
  <w:p w14:paraId="3D8CF8A0" w14:textId="77777777" w:rsidR="004A4D60" w:rsidRDefault="004A4D60" w:rsidP="00E24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5D16" w14:textId="77777777" w:rsidR="004A4D60" w:rsidRDefault="004A4D60" w:rsidP="004A4D60">
    <w:pPr>
      <w:pStyle w:val="Header"/>
      <w:jc w:val="right"/>
    </w:pPr>
    <w:bookmarkStart w:id="2" w:name="_Hlk68936160"/>
    <w:r>
      <w:t>New Build Resource Form Agreement</w:t>
    </w:r>
  </w:p>
  <w:p w14:paraId="0806FF05" w14:textId="49C2574C" w:rsidR="004A4D60" w:rsidRDefault="004A4D60" w:rsidP="004A4D60">
    <w:pPr>
      <w:pStyle w:val="Header"/>
      <w:jc w:val="right"/>
    </w:pPr>
    <w:r>
      <w:t xml:space="preserve">PG&amp;E as CPE and </w:t>
    </w:r>
    <w:r w:rsidR="00FF5CDB">
      <w:t>Non-Owner as Seller</w:t>
    </w:r>
  </w:p>
  <w:p w14:paraId="0F721732" w14:textId="05078D6F" w:rsidR="004A4D60" w:rsidRDefault="004A4D60" w:rsidP="004A4D60">
    <w:pPr>
      <w:pStyle w:val="Header"/>
      <w:jc w:val="right"/>
    </w:pPr>
    <w:r>
      <w:t>SUBJECT TO PG&amp;E CPE’S CONTINUED REVIEW AND REVISION</w:t>
    </w:r>
  </w:p>
  <w:bookmarkEnd w:id="2"/>
  <w:p w14:paraId="2901412A" w14:textId="27DDEAAF" w:rsidR="008874B9" w:rsidRDefault="008874B9" w:rsidP="0070095F">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C03" w14:textId="77777777" w:rsidR="00AD5F69" w:rsidRDefault="00AD5F69" w:rsidP="00AD5F69">
    <w:pPr>
      <w:pStyle w:val="Header"/>
      <w:jc w:val="right"/>
    </w:pPr>
    <w:r>
      <w:t>New Build Resource Form Agreement</w:t>
    </w:r>
  </w:p>
  <w:p w14:paraId="6F1F8213" w14:textId="1DD1A1EF" w:rsidR="00AD5F69" w:rsidRDefault="00AD5F69" w:rsidP="00AD5F69">
    <w:pPr>
      <w:pStyle w:val="Header"/>
      <w:jc w:val="right"/>
    </w:pPr>
    <w:r>
      <w:t xml:space="preserve">PG&amp;E as CPE and </w:t>
    </w:r>
    <w:r w:rsidR="00874B2F">
      <w:t>Non-Owner as Seller</w:t>
    </w:r>
  </w:p>
  <w:p w14:paraId="26CDFB94" w14:textId="77777777" w:rsidR="00AD5F69" w:rsidRDefault="00AD5F69" w:rsidP="00AD5F69">
    <w:pPr>
      <w:pStyle w:val="Header"/>
      <w:jc w:val="right"/>
    </w:pPr>
    <w:r>
      <w:t>SUBJECT TO PG&amp;E CPE’S CONTINUED REVIEW AND REVISION</w:t>
    </w:r>
  </w:p>
  <w:p w14:paraId="5B46EFF3" w14:textId="77777777" w:rsidR="004A4D60" w:rsidRDefault="004A4D60" w:rsidP="00E245D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74BC" w14:textId="77777777" w:rsidR="00AD5F69" w:rsidRDefault="00AD5F69" w:rsidP="00AD5F69">
    <w:pPr>
      <w:pStyle w:val="Header"/>
      <w:jc w:val="right"/>
    </w:pPr>
    <w:r>
      <w:t>New Build Resource Form Agreement</w:t>
    </w:r>
  </w:p>
  <w:p w14:paraId="0C09FE62" w14:textId="0E3E0247" w:rsidR="00AD5F69" w:rsidRDefault="00AD5F69" w:rsidP="00AD5F69">
    <w:pPr>
      <w:pStyle w:val="Header"/>
      <w:jc w:val="right"/>
    </w:pPr>
    <w:r>
      <w:t xml:space="preserve">PG&amp;E as CPE and </w:t>
    </w:r>
    <w:r w:rsidR="00874B2F">
      <w:t>Non-Owner as Seller</w:t>
    </w:r>
  </w:p>
  <w:p w14:paraId="76709DE9" w14:textId="77777777" w:rsidR="00AD5F69" w:rsidRDefault="00AD5F69" w:rsidP="00AD5F69">
    <w:pPr>
      <w:pStyle w:val="Header"/>
      <w:jc w:val="right"/>
    </w:pPr>
    <w:r>
      <w:t>SUBJECT TO PG&amp;E CPE’S CONTINUED REVIEW AND REVISION</w:t>
    </w:r>
  </w:p>
  <w:p w14:paraId="2573143D" w14:textId="77777777" w:rsidR="004A4D60" w:rsidRDefault="004A4D60" w:rsidP="00E245D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8881" w14:textId="77777777" w:rsidR="00E245DD" w:rsidRDefault="00E245DD" w:rsidP="00E245DD">
    <w:pPr>
      <w:pStyle w:val="Header"/>
      <w:jc w:val="right"/>
    </w:pPr>
    <w:r>
      <w:t>New Build Resource Form Agreement</w:t>
    </w:r>
  </w:p>
  <w:p w14:paraId="427D9128" w14:textId="7BEA16F6" w:rsidR="00E245DD" w:rsidRDefault="00E245DD" w:rsidP="00E245DD">
    <w:pPr>
      <w:pStyle w:val="Header"/>
      <w:jc w:val="right"/>
    </w:pPr>
    <w:r>
      <w:t xml:space="preserve">PG&amp;E as CPE and </w:t>
    </w:r>
    <w:r w:rsidR="00874B2F">
      <w:t>Non-Owner as Seller</w:t>
    </w:r>
  </w:p>
  <w:p w14:paraId="663692A1" w14:textId="77777777" w:rsidR="00E245DD" w:rsidRDefault="00E245DD" w:rsidP="00E245DD">
    <w:pPr>
      <w:pStyle w:val="Header"/>
      <w:jc w:val="right"/>
    </w:pPr>
    <w:r>
      <w:t>SUBJECT TO PG&amp;E CPE’S CONTINUED REVIEW AND REVISION</w:t>
    </w:r>
  </w:p>
  <w:p w14:paraId="7A2E2199" w14:textId="77777777" w:rsidR="004A4D60" w:rsidRDefault="004A4D60" w:rsidP="00E245D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48C" w14:textId="77777777" w:rsidR="00E245DD" w:rsidRDefault="00E245DD" w:rsidP="00E245DD">
    <w:pPr>
      <w:pStyle w:val="Header"/>
      <w:jc w:val="right"/>
    </w:pPr>
    <w:r>
      <w:t>New Build Resource Form Agreement</w:t>
    </w:r>
  </w:p>
  <w:p w14:paraId="4C196F70" w14:textId="5E7FCBE8" w:rsidR="00E245DD" w:rsidRDefault="00E245DD" w:rsidP="00E245DD">
    <w:pPr>
      <w:pStyle w:val="Header"/>
      <w:jc w:val="right"/>
    </w:pPr>
    <w:r>
      <w:t xml:space="preserve">PG&amp;E as CPE and </w:t>
    </w:r>
    <w:r w:rsidR="00874B2F">
      <w:t>Non-Owner as Seller</w:t>
    </w:r>
  </w:p>
  <w:p w14:paraId="06D4E9D7" w14:textId="77777777" w:rsidR="00E245DD" w:rsidRDefault="00E245DD" w:rsidP="00E245DD">
    <w:pPr>
      <w:pStyle w:val="Header"/>
      <w:jc w:val="right"/>
    </w:pPr>
    <w:r>
      <w:t>SUBJECT TO PG&amp;E CPE’S CONTINUED REVIEW AND REVISION</w:t>
    </w:r>
  </w:p>
  <w:p w14:paraId="66BBE10B" w14:textId="77777777" w:rsidR="004A4D60" w:rsidRDefault="004A4D60" w:rsidP="00E245D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F2F6" w14:textId="77777777" w:rsidR="00E245DD" w:rsidRDefault="00E245DD" w:rsidP="00E245DD">
    <w:pPr>
      <w:pStyle w:val="Header"/>
      <w:jc w:val="right"/>
    </w:pPr>
    <w:r>
      <w:t>New Build Resource Form Agreement</w:t>
    </w:r>
  </w:p>
  <w:p w14:paraId="4604A268" w14:textId="67BE7CE3" w:rsidR="00E245DD" w:rsidRDefault="00E245DD" w:rsidP="00E245DD">
    <w:pPr>
      <w:pStyle w:val="Header"/>
      <w:jc w:val="right"/>
    </w:pPr>
    <w:r>
      <w:t xml:space="preserve">PG&amp;E as CPE and </w:t>
    </w:r>
    <w:r w:rsidR="00874B2F">
      <w:t>Non-Owner as Seller</w:t>
    </w:r>
  </w:p>
  <w:p w14:paraId="3AD73DDB" w14:textId="77777777" w:rsidR="00E245DD" w:rsidRDefault="00E245DD" w:rsidP="00E245DD">
    <w:pPr>
      <w:pStyle w:val="Header"/>
      <w:jc w:val="right"/>
    </w:pPr>
    <w:r>
      <w:t>SUBJECT TO PG&amp;E CPE’S CONTINUED REVIEW AND REVISION</w:t>
    </w:r>
  </w:p>
  <w:p w14:paraId="592A1305" w14:textId="77777777" w:rsidR="004A4D60" w:rsidRDefault="004A4D60" w:rsidP="00E24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75D0" w14:textId="77777777" w:rsidR="008874B9" w:rsidRDefault="008874B9" w:rsidP="00CC3F4F">
    <w:pPr>
      <w:pStyle w:val="Header"/>
      <w:jc w:val="right"/>
    </w:pPr>
    <w:r>
      <w:t>New Build Resource Form Agreement</w:t>
    </w:r>
  </w:p>
  <w:p w14:paraId="1630A187" w14:textId="3F9BC950" w:rsidR="008874B9" w:rsidRDefault="008874B9" w:rsidP="00CC3F4F">
    <w:pPr>
      <w:pStyle w:val="Header"/>
      <w:jc w:val="right"/>
    </w:pPr>
    <w:r>
      <w:t xml:space="preserve">PG&amp;E as CPE and </w:t>
    </w:r>
    <w:r w:rsidR="00874B2F">
      <w:t>Non-Owner as Seller</w:t>
    </w:r>
  </w:p>
  <w:p w14:paraId="62B18059" w14:textId="77777777" w:rsidR="008874B9" w:rsidRDefault="008874B9" w:rsidP="00CC3F4F">
    <w:pPr>
      <w:pStyle w:val="Header"/>
      <w:jc w:val="right"/>
    </w:pPr>
    <w:r>
      <w:t>SUBJECT TO PG&amp;E CPE’S CONTINUED REVIEW AND REVISION</w:t>
    </w:r>
  </w:p>
  <w:p w14:paraId="4A750C85" w14:textId="437F4C22" w:rsidR="008874B9" w:rsidRDefault="008874B9" w:rsidP="00D823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5502" w14:textId="77777777" w:rsidR="004A4D60" w:rsidRDefault="004A4D60" w:rsidP="004A4D60">
    <w:pPr>
      <w:pStyle w:val="Header"/>
      <w:jc w:val="right"/>
    </w:pPr>
    <w:r>
      <w:t>New Build Resource Form Agreement</w:t>
    </w:r>
  </w:p>
  <w:p w14:paraId="2D87DB0F" w14:textId="5686DF92" w:rsidR="004A4D60" w:rsidRDefault="004A4D60" w:rsidP="004A4D60">
    <w:pPr>
      <w:pStyle w:val="Header"/>
      <w:jc w:val="right"/>
    </w:pPr>
    <w:r>
      <w:t xml:space="preserve">PG&amp;E as CPE and </w:t>
    </w:r>
    <w:r w:rsidR="00FF5CDB">
      <w:t>Non-Owner as Seller</w:t>
    </w:r>
  </w:p>
  <w:p w14:paraId="4FEBA42B" w14:textId="77777777" w:rsidR="004A4D60" w:rsidRDefault="004A4D60" w:rsidP="004A4D60">
    <w:pPr>
      <w:pStyle w:val="Header"/>
      <w:jc w:val="right"/>
    </w:pPr>
    <w:r>
      <w:t>SUBJECT TO PG&amp;E CPE’S CONTINUED REVIEW AND REVISION</w:t>
    </w:r>
  </w:p>
  <w:p w14:paraId="1004F5C1" w14:textId="77777777" w:rsidR="008874B9" w:rsidRDefault="008874B9" w:rsidP="00D823A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82A9" w14:textId="77777777" w:rsidR="004A4D60" w:rsidRDefault="004A4D60" w:rsidP="004A4D60">
    <w:pPr>
      <w:pStyle w:val="Header"/>
      <w:jc w:val="right"/>
    </w:pPr>
    <w:r>
      <w:t>New Build Resource Form Agreement</w:t>
    </w:r>
  </w:p>
  <w:p w14:paraId="3AF16FDA" w14:textId="0F3BD842" w:rsidR="004A4D60" w:rsidRDefault="004A4D60" w:rsidP="004A4D60">
    <w:pPr>
      <w:pStyle w:val="Header"/>
      <w:jc w:val="right"/>
    </w:pPr>
    <w:r>
      <w:t xml:space="preserve">PG&amp;E as CPE and </w:t>
    </w:r>
    <w:r w:rsidR="00FF5CDB">
      <w:t>Non-Owner as Seller</w:t>
    </w:r>
  </w:p>
  <w:p w14:paraId="5B5CCB98" w14:textId="77777777" w:rsidR="004A4D60" w:rsidRDefault="004A4D60" w:rsidP="004A4D60">
    <w:pPr>
      <w:pStyle w:val="Header"/>
      <w:jc w:val="right"/>
    </w:pPr>
    <w:r>
      <w:t>SUBJECT TO PG&amp;E CPE’S CONTINUED REVIEW AND REVISION</w:t>
    </w:r>
  </w:p>
  <w:p w14:paraId="1D09ED00" w14:textId="77777777" w:rsidR="008874B9" w:rsidRDefault="008874B9" w:rsidP="00D823A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36A9" w14:textId="77777777" w:rsidR="004A4D60" w:rsidRDefault="004A4D60" w:rsidP="004A4D60">
    <w:pPr>
      <w:pStyle w:val="Header"/>
      <w:jc w:val="right"/>
    </w:pPr>
    <w:r>
      <w:t>New Build Resource Form Agreement</w:t>
    </w:r>
  </w:p>
  <w:p w14:paraId="11C5CF35" w14:textId="05E404E4" w:rsidR="004A4D60" w:rsidRDefault="004A4D60" w:rsidP="004A4D60">
    <w:pPr>
      <w:pStyle w:val="Header"/>
      <w:jc w:val="right"/>
    </w:pPr>
    <w:r>
      <w:t xml:space="preserve">PG&amp;E as CPE and </w:t>
    </w:r>
    <w:r w:rsidR="00874B2F">
      <w:t>Non-Owner as Seller</w:t>
    </w:r>
  </w:p>
  <w:p w14:paraId="6CAAE79D" w14:textId="77777777" w:rsidR="004A4D60" w:rsidRDefault="004A4D60" w:rsidP="004A4D60">
    <w:pPr>
      <w:pStyle w:val="Header"/>
      <w:jc w:val="right"/>
    </w:pPr>
    <w:r>
      <w:t>SUBJECT TO PG&amp;E CPE’S CONTINUED REVIEW AND REVISION</w:t>
    </w:r>
  </w:p>
  <w:p w14:paraId="32A22A88" w14:textId="77777777" w:rsidR="008874B9" w:rsidRDefault="008874B9" w:rsidP="00D823A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90CF" w14:textId="77777777" w:rsidR="008874B9" w:rsidRDefault="008874B9" w:rsidP="002F2EDD">
    <w:pPr>
      <w:pStyle w:val="Header"/>
      <w:jc w:val="right"/>
    </w:pPr>
    <w:r>
      <w:t>New Build Resource Form Agreement</w:t>
    </w:r>
  </w:p>
  <w:p w14:paraId="6CCE0753" w14:textId="179C590D" w:rsidR="008874B9" w:rsidRDefault="008874B9" w:rsidP="002F2EDD">
    <w:pPr>
      <w:pStyle w:val="Header"/>
      <w:jc w:val="right"/>
    </w:pPr>
    <w:r>
      <w:t xml:space="preserve">PG&amp;E as CPE and </w:t>
    </w:r>
    <w:r w:rsidR="00874B2F">
      <w:t>Non-Owner as Seller</w:t>
    </w:r>
  </w:p>
  <w:p w14:paraId="36FBE8D9" w14:textId="77777777" w:rsidR="008874B9" w:rsidRDefault="008874B9" w:rsidP="002F2EDD">
    <w:pPr>
      <w:pStyle w:val="Header"/>
      <w:jc w:val="right"/>
    </w:pPr>
    <w:r>
      <w:t>SUBJECT TO PG&amp;E CPE’S CONTINUED REVIEW AND REVISION</w:t>
    </w:r>
  </w:p>
  <w:p w14:paraId="42DEFE0F" w14:textId="77777777" w:rsidR="008874B9" w:rsidRDefault="008874B9" w:rsidP="00D823A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A3AC" w14:textId="77777777" w:rsidR="008874B9" w:rsidRDefault="008874B9" w:rsidP="002F2EDD">
    <w:pPr>
      <w:pStyle w:val="Header"/>
      <w:jc w:val="right"/>
    </w:pPr>
    <w:r>
      <w:t>New Build Resource Form Agreement</w:t>
    </w:r>
  </w:p>
  <w:p w14:paraId="7433EB54" w14:textId="6411005E" w:rsidR="008874B9" w:rsidRDefault="008874B9" w:rsidP="002F2EDD">
    <w:pPr>
      <w:pStyle w:val="Header"/>
      <w:jc w:val="right"/>
    </w:pPr>
    <w:r>
      <w:t xml:space="preserve">PG&amp;E as CPE and </w:t>
    </w:r>
    <w:r w:rsidR="00874B2F">
      <w:t>Non-Owner as Seller</w:t>
    </w:r>
  </w:p>
  <w:p w14:paraId="06D7DA73" w14:textId="77777777" w:rsidR="008874B9" w:rsidRDefault="008874B9" w:rsidP="002F2EDD">
    <w:pPr>
      <w:pStyle w:val="Header"/>
      <w:jc w:val="right"/>
    </w:pPr>
    <w:r>
      <w:t>SUBJECT TO PG&amp;E CPE’S CONTINUED REVIEW AND REVISION</w:t>
    </w:r>
  </w:p>
  <w:p w14:paraId="6CEDA175" w14:textId="77777777" w:rsidR="008874B9" w:rsidRDefault="008874B9" w:rsidP="00D823AC">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12DE" w14:textId="77777777" w:rsidR="00AD5F69" w:rsidRDefault="00AD5F69" w:rsidP="00AD5F69">
    <w:pPr>
      <w:pStyle w:val="Header"/>
      <w:jc w:val="right"/>
    </w:pPr>
    <w:r>
      <w:t>New Build Resource Form Agreement</w:t>
    </w:r>
  </w:p>
  <w:p w14:paraId="6DD2D1B2" w14:textId="7B47FC46" w:rsidR="00AD5F69" w:rsidRDefault="00AD5F69" w:rsidP="00AD5F69">
    <w:pPr>
      <w:pStyle w:val="Header"/>
      <w:jc w:val="right"/>
    </w:pPr>
    <w:r>
      <w:t xml:space="preserve">PG&amp;E as CPE and </w:t>
    </w:r>
    <w:r w:rsidR="00874B2F">
      <w:t>Non-Owner as Seller</w:t>
    </w:r>
  </w:p>
  <w:p w14:paraId="4BC38E07" w14:textId="77777777" w:rsidR="00AD5F69" w:rsidRDefault="00AD5F69" w:rsidP="00AD5F69">
    <w:pPr>
      <w:pStyle w:val="Header"/>
      <w:jc w:val="right"/>
    </w:pPr>
    <w:r>
      <w:t>SUBJECT TO PG&amp;E CPE’S CONTINUED REVIEW AND REVISION</w:t>
    </w:r>
  </w:p>
  <w:p w14:paraId="63AA5DB5" w14:textId="77777777" w:rsidR="004A4D60" w:rsidRDefault="004A4D60" w:rsidP="00AD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3C38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C6BE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CA1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5E88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869B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44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1E3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064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02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AC2A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1496"/>
    <w:multiLevelType w:val="hybridMultilevel"/>
    <w:tmpl w:val="DB1E91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8535D11"/>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3" w15:restartNumberingAfterBreak="0">
    <w:nsid w:val="46A02673"/>
    <w:multiLevelType w:val="hybridMultilevel"/>
    <w:tmpl w:val="2D7EA042"/>
    <w:lvl w:ilvl="0" w:tplc="FFFFFFFF">
      <w:start w:val="1"/>
      <w:numFmt w:val="lowerRoman"/>
      <w:lvlText w:val="(%1)"/>
      <w:lvlJc w:val="left"/>
      <w:pPr>
        <w:ind w:left="2070" w:hanging="360"/>
      </w:pPr>
      <w:rPr>
        <w:rFonts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10200C90">
      <w:start w:val="1"/>
      <w:numFmt w:val="lowerRoman"/>
      <w:lvlText w:val="(%4)"/>
      <w:lvlJc w:val="left"/>
      <w:pPr>
        <w:ind w:left="4230" w:hanging="360"/>
      </w:pPr>
      <w:rPr>
        <w:rFonts w:hint="default"/>
      </w:r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4"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99A272C"/>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F1777"/>
    <w:multiLevelType w:val="multilevel"/>
    <w:tmpl w:val="99B05B6C"/>
    <w:lvl w:ilvl="0">
      <w:start w:val="1"/>
      <w:numFmt w:val="cardinalText"/>
      <w:pStyle w:val="Heading1"/>
      <w:suff w:val="nothing"/>
      <w:lvlText w:val="Article %1"/>
      <w:lvlJc w:val="left"/>
      <w:pPr>
        <w:ind w:left="0" w:firstLine="0"/>
      </w:pPr>
      <w:rPr>
        <w:rFonts w:ascii="Times New Roman" w:hAnsi="Times New Roman" w:cs="Times New Roman"/>
        <w:b/>
        <w:i w:val="0"/>
        <w:caps/>
        <w:smallCaps w:val="0"/>
        <w:strike w:val="0"/>
        <w:dstrike w:val="0"/>
        <w:outline w:val="0"/>
        <w:shadow w:val="0"/>
        <w:emboss w:val="0"/>
        <w:imprint w:val="0"/>
        <w:vanish w:val="0"/>
        <w:u w:val="none" w:color="000000"/>
        <w:effect w:val="none"/>
        <w:vertAlign w:val="baseline"/>
      </w:rPr>
    </w:lvl>
    <w:lvl w:ilvl="1">
      <w:start w:val="1"/>
      <w:numFmt w:val="decimal"/>
      <w:pStyle w:val="Heading2"/>
      <w:isLgl/>
      <w:lvlText w:val="%1.%2"/>
      <w:lvlJc w:val="left"/>
      <w:pPr>
        <w:ind w:left="0" w:firstLine="720"/>
      </w:pPr>
      <w:rPr>
        <w:rFonts w:ascii="Times New Roman" w:hAnsi="Times New Roman" w:cs="Times New Roman"/>
        <w:b w:val="0"/>
        <w:caps w:val="0"/>
        <w:strike w:val="0"/>
        <w:dstrike w:val="0"/>
        <w:color w:val="auto"/>
        <w:u w:val="none" w:color="000000"/>
      </w:rPr>
    </w:lvl>
    <w:lvl w:ilvl="2">
      <w:start w:val="1"/>
      <w:numFmt w:val="lowerLetter"/>
      <w:pStyle w:val="Heading3"/>
      <w:lvlText w:val="(%3)"/>
      <w:lvlJc w:val="left"/>
      <w:pPr>
        <w:ind w:left="0" w:firstLine="1440"/>
      </w:pPr>
      <w:rPr>
        <w:rFonts w:ascii="Times New Roman" w:hAnsi="Times New Roman" w:cs="Times New Roman"/>
        <w:b w:val="0"/>
        <w:caps w:val="0"/>
        <w:strike w:val="0"/>
        <w:dstrike w:val="0"/>
        <w:color w:val="010000"/>
        <w:u w:val="none" w:color="000000"/>
      </w:rPr>
    </w:lvl>
    <w:lvl w:ilvl="3">
      <w:start w:val="1"/>
      <w:numFmt w:val="lowerRoman"/>
      <w:pStyle w:val="Heading4"/>
      <w:lvlText w:val="(%4)"/>
      <w:lvlJc w:val="left"/>
      <w:pPr>
        <w:ind w:left="0" w:firstLine="2160"/>
      </w:pPr>
      <w:rPr>
        <w:rFonts w:ascii="Times New Roman" w:hAnsi="Times New Roman" w:cs="Times New Roman"/>
        <w:caps w:val="0"/>
        <w:strike w:val="0"/>
        <w:dstrike w:val="0"/>
        <w:color w:val="010000"/>
        <w:u w:val="none"/>
      </w:rPr>
    </w:lvl>
    <w:lvl w:ilvl="4">
      <w:start w:val="1"/>
      <w:numFmt w:val="upperLetter"/>
      <w:pStyle w:val="Heading5"/>
      <w:lvlText w:val="(%5)"/>
      <w:lvlJc w:val="left"/>
      <w:pPr>
        <w:ind w:left="0" w:firstLine="2880"/>
      </w:pPr>
      <w:rPr>
        <w:caps w:val="0"/>
        <w:strike w:val="0"/>
        <w:dstrike w:val="0"/>
        <w:color w:val="010000"/>
        <w:u w:val="none"/>
      </w:rPr>
    </w:lvl>
    <w:lvl w:ilvl="5">
      <w:start w:val="1"/>
      <w:numFmt w:val="lowerLetter"/>
      <w:pStyle w:val="Heading6"/>
      <w:lvlText w:val="%6."/>
      <w:lvlJc w:val="left"/>
      <w:pPr>
        <w:ind w:left="2160" w:firstLine="1440"/>
      </w:pPr>
      <w:rPr>
        <w:caps w:val="0"/>
        <w:strike w:val="0"/>
        <w:dstrike w:val="0"/>
        <w:color w:val="010000"/>
        <w:u w:val="none"/>
      </w:rPr>
    </w:lvl>
    <w:lvl w:ilvl="6">
      <w:start w:val="1"/>
      <w:numFmt w:val="decimal"/>
      <w:pStyle w:val="Heading7"/>
      <w:lvlText w:val="%7."/>
      <w:lvlJc w:val="left"/>
      <w:pPr>
        <w:ind w:left="2880" w:firstLine="1440"/>
      </w:pPr>
      <w:rPr>
        <w:caps w:val="0"/>
        <w:strike w:val="0"/>
        <w:dstrike w:val="0"/>
        <w:color w:val="010000"/>
        <w:u w:val="none"/>
      </w:rPr>
    </w:lvl>
    <w:lvl w:ilvl="7">
      <w:start w:val="1"/>
      <w:numFmt w:val="lowerRoman"/>
      <w:pStyle w:val="Heading8"/>
      <w:lvlText w:val="%8."/>
      <w:lvlJc w:val="left"/>
      <w:pPr>
        <w:ind w:left="3600" w:firstLine="1440"/>
      </w:pPr>
      <w:rPr>
        <w:caps w:val="0"/>
        <w:strike w:val="0"/>
        <w:dstrike w:val="0"/>
        <w:color w:val="010000"/>
        <w:u w:val="none"/>
      </w:rPr>
    </w:lvl>
    <w:lvl w:ilvl="8">
      <w:start w:val="1"/>
      <w:numFmt w:val="decimal"/>
      <w:pStyle w:val="Heading9"/>
      <w:lvlText w:val="(%9)"/>
      <w:lvlJc w:val="left"/>
      <w:pPr>
        <w:ind w:left="4320" w:firstLine="1440"/>
      </w:pPr>
      <w:rPr>
        <w:caps w:val="0"/>
        <w:strike w:val="0"/>
        <w:dstrike w:val="0"/>
        <w:color w:val="010000"/>
        <w:u w:val="none"/>
      </w:rPr>
    </w:lvl>
  </w:abstractNum>
  <w:abstractNum w:abstractNumId="17"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F10040"/>
    <w:multiLevelType w:val="hybridMultilevel"/>
    <w:tmpl w:val="67106310"/>
    <w:lvl w:ilvl="0" w:tplc="10200C90">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6C3F0752"/>
    <w:multiLevelType w:val="hybridMultilevel"/>
    <w:tmpl w:val="F7680C08"/>
    <w:lvl w:ilvl="0" w:tplc="BAFC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4483DB9"/>
    <w:multiLevelType w:val="hybridMultilevel"/>
    <w:tmpl w:val="50F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D1602"/>
    <w:multiLevelType w:val="hybridMultilevel"/>
    <w:tmpl w:val="EEA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36A65"/>
    <w:multiLevelType w:val="hybridMultilevel"/>
    <w:tmpl w:val="E3560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8221004">
    <w:abstractNumId w:val="10"/>
  </w:num>
  <w:num w:numId="2" w16cid:durableId="645473624">
    <w:abstractNumId w:val="22"/>
  </w:num>
  <w:num w:numId="3" w16cid:durableId="1898514528">
    <w:abstractNumId w:val="21"/>
  </w:num>
  <w:num w:numId="4" w16cid:durableId="1863786842">
    <w:abstractNumId w:val="19"/>
  </w:num>
  <w:num w:numId="5" w16cid:durableId="1809319740">
    <w:abstractNumId w:val="15"/>
  </w:num>
  <w:num w:numId="6" w16cid:durableId="282348511">
    <w:abstractNumId w:val="11"/>
  </w:num>
  <w:num w:numId="7" w16cid:durableId="412170721">
    <w:abstractNumId w:val="17"/>
  </w:num>
  <w:num w:numId="8" w16cid:durableId="451634007">
    <w:abstractNumId w:val="20"/>
  </w:num>
  <w:num w:numId="9" w16cid:durableId="584849716">
    <w:abstractNumId w:val="14"/>
  </w:num>
  <w:num w:numId="10" w16cid:durableId="1217278654">
    <w:abstractNumId w:val="16"/>
  </w:num>
  <w:num w:numId="11" w16cid:durableId="1988433051">
    <w:abstractNumId w:val="16"/>
  </w:num>
  <w:num w:numId="12" w16cid:durableId="2051606237">
    <w:abstractNumId w:val="16"/>
  </w:num>
  <w:num w:numId="13" w16cid:durableId="1614508241">
    <w:abstractNumId w:val="16"/>
  </w:num>
  <w:num w:numId="14" w16cid:durableId="314259841">
    <w:abstractNumId w:val="16"/>
  </w:num>
  <w:num w:numId="15" w16cid:durableId="1070494437">
    <w:abstractNumId w:val="16"/>
  </w:num>
  <w:num w:numId="16" w16cid:durableId="15892258">
    <w:abstractNumId w:val="16"/>
  </w:num>
  <w:num w:numId="17" w16cid:durableId="1104764710">
    <w:abstractNumId w:val="16"/>
  </w:num>
  <w:num w:numId="18" w16cid:durableId="1171336810">
    <w:abstractNumId w:val="16"/>
  </w:num>
  <w:num w:numId="19" w16cid:durableId="757024586">
    <w:abstractNumId w:val="9"/>
  </w:num>
  <w:num w:numId="20" w16cid:durableId="1428573268">
    <w:abstractNumId w:val="7"/>
  </w:num>
  <w:num w:numId="21" w16cid:durableId="28192858">
    <w:abstractNumId w:val="6"/>
  </w:num>
  <w:num w:numId="22" w16cid:durableId="896747691">
    <w:abstractNumId w:val="5"/>
  </w:num>
  <w:num w:numId="23" w16cid:durableId="524560048">
    <w:abstractNumId w:val="4"/>
  </w:num>
  <w:num w:numId="24" w16cid:durableId="445003401">
    <w:abstractNumId w:val="8"/>
  </w:num>
  <w:num w:numId="25" w16cid:durableId="88015664">
    <w:abstractNumId w:val="3"/>
  </w:num>
  <w:num w:numId="26" w16cid:durableId="585500854">
    <w:abstractNumId w:val="2"/>
  </w:num>
  <w:num w:numId="27" w16cid:durableId="844323851">
    <w:abstractNumId w:val="1"/>
  </w:num>
  <w:num w:numId="28" w16cid:durableId="418841740">
    <w:abstractNumId w:val="0"/>
  </w:num>
  <w:num w:numId="29" w16cid:durableId="927345223">
    <w:abstractNumId w:val="23"/>
  </w:num>
  <w:num w:numId="30" w16cid:durableId="1570732575">
    <w:abstractNumId w:val="16"/>
  </w:num>
  <w:num w:numId="31" w16cid:durableId="1201938070">
    <w:abstractNumId w:val="16"/>
  </w:num>
  <w:num w:numId="32" w16cid:durableId="1380203071">
    <w:abstractNumId w:val="16"/>
  </w:num>
  <w:num w:numId="33" w16cid:durableId="1643923126">
    <w:abstractNumId w:val="16"/>
  </w:num>
  <w:num w:numId="34" w16cid:durableId="86846817">
    <w:abstractNumId w:val="16"/>
  </w:num>
  <w:num w:numId="35" w16cid:durableId="1079402734">
    <w:abstractNumId w:val="16"/>
  </w:num>
  <w:num w:numId="36" w16cid:durableId="16641220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9995144">
    <w:abstractNumId w:val="16"/>
  </w:num>
  <w:num w:numId="38" w16cid:durableId="469134394">
    <w:abstractNumId w:val="16"/>
  </w:num>
  <w:num w:numId="39" w16cid:durableId="494954118">
    <w:abstractNumId w:val="16"/>
  </w:num>
  <w:num w:numId="40" w16cid:durableId="418335300">
    <w:abstractNumId w:val="16"/>
  </w:num>
  <w:num w:numId="41" w16cid:durableId="1290668056">
    <w:abstractNumId w:val="16"/>
  </w:num>
  <w:num w:numId="42" w16cid:durableId="1036925784">
    <w:abstractNumId w:val="18"/>
  </w:num>
  <w:num w:numId="43" w16cid:durableId="130214824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
    <w:docVar w:name="SWAllLineBreaks" w:val="Heading~~1|0|0|0|0|0|0|0|0|@@"/>
    <w:docVar w:name="SWCreateTOCEntriesWHyperlinks" w:val="True"/>
    <w:docVar w:name="SWDocIDLayout" w:val="2"/>
    <w:docVar w:name="SWDocIDLocation" w:val="1"/>
    <w:docVar w:name="SWIncludeHeaderFooterText" w:val="False"/>
    <w:docVar w:name="SWTOCLevelsInfo" w:val="1=1|.  |2|0|0|@@2=2|. |3|0|0|@@"/>
    <w:docVar w:name="SWTOCLinkToLevel" w:val="Heading 1=1|Heading 2=2|"/>
    <w:docVar w:name="SWTOCOtherProperties" w:val="InsertStyleSeparators=0|TCFields=C|PreserveLineBreaks=True|CreateHyperlinks=True|IncludeHeaderFooterText=False|NoPrefix=False|"/>
    <w:docVar w:name="SWTOCProperties" w:val="2|0|0|0|0|0|0|"/>
  </w:docVars>
  <w:rsids>
    <w:rsidRoot w:val="00FB3678"/>
    <w:rsid w:val="000000CA"/>
    <w:rsid w:val="0000015C"/>
    <w:rsid w:val="00002B1D"/>
    <w:rsid w:val="00002C93"/>
    <w:rsid w:val="00003E17"/>
    <w:rsid w:val="000042CC"/>
    <w:rsid w:val="00005D20"/>
    <w:rsid w:val="00005DAE"/>
    <w:rsid w:val="00006F61"/>
    <w:rsid w:val="0000708B"/>
    <w:rsid w:val="0000787E"/>
    <w:rsid w:val="000100B4"/>
    <w:rsid w:val="000105DC"/>
    <w:rsid w:val="00010870"/>
    <w:rsid w:val="00010C23"/>
    <w:rsid w:val="00011592"/>
    <w:rsid w:val="00011ADF"/>
    <w:rsid w:val="00011C68"/>
    <w:rsid w:val="00012021"/>
    <w:rsid w:val="000124D1"/>
    <w:rsid w:val="00012704"/>
    <w:rsid w:val="00012DED"/>
    <w:rsid w:val="00013908"/>
    <w:rsid w:val="0001479F"/>
    <w:rsid w:val="000157A6"/>
    <w:rsid w:val="000158FD"/>
    <w:rsid w:val="00016F6C"/>
    <w:rsid w:val="00017E0F"/>
    <w:rsid w:val="0002054B"/>
    <w:rsid w:val="00021C1A"/>
    <w:rsid w:val="00022959"/>
    <w:rsid w:val="000230AA"/>
    <w:rsid w:val="000238B5"/>
    <w:rsid w:val="00023E4B"/>
    <w:rsid w:val="00024A7F"/>
    <w:rsid w:val="00024C6A"/>
    <w:rsid w:val="0002504B"/>
    <w:rsid w:val="00025AD2"/>
    <w:rsid w:val="00025ECB"/>
    <w:rsid w:val="00026C4C"/>
    <w:rsid w:val="00027CC8"/>
    <w:rsid w:val="00030AB7"/>
    <w:rsid w:val="00031237"/>
    <w:rsid w:val="00031794"/>
    <w:rsid w:val="0003241B"/>
    <w:rsid w:val="00032623"/>
    <w:rsid w:val="00032DB6"/>
    <w:rsid w:val="00033370"/>
    <w:rsid w:val="00033D89"/>
    <w:rsid w:val="00033F7C"/>
    <w:rsid w:val="00033F97"/>
    <w:rsid w:val="00034732"/>
    <w:rsid w:val="00035A01"/>
    <w:rsid w:val="0003616C"/>
    <w:rsid w:val="000362D7"/>
    <w:rsid w:val="000405B0"/>
    <w:rsid w:val="0004076A"/>
    <w:rsid w:val="0004097E"/>
    <w:rsid w:val="00040F4A"/>
    <w:rsid w:val="00040FC0"/>
    <w:rsid w:val="00041125"/>
    <w:rsid w:val="00041DDD"/>
    <w:rsid w:val="000421B8"/>
    <w:rsid w:val="0004274D"/>
    <w:rsid w:val="000428AF"/>
    <w:rsid w:val="00042EF1"/>
    <w:rsid w:val="00043083"/>
    <w:rsid w:val="0004396C"/>
    <w:rsid w:val="00043EED"/>
    <w:rsid w:val="00044BFE"/>
    <w:rsid w:val="000456CA"/>
    <w:rsid w:val="00045CB0"/>
    <w:rsid w:val="00045ECE"/>
    <w:rsid w:val="00046D2D"/>
    <w:rsid w:val="00046FCE"/>
    <w:rsid w:val="00047DE7"/>
    <w:rsid w:val="0005105D"/>
    <w:rsid w:val="00051512"/>
    <w:rsid w:val="00051A2D"/>
    <w:rsid w:val="00051DAE"/>
    <w:rsid w:val="00051E64"/>
    <w:rsid w:val="00051FC3"/>
    <w:rsid w:val="00051FEB"/>
    <w:rsid w:val="00052581"/>
    <w:rsid w:val="00053046"/>
    <w:rsid w:val="000534FD"/>
    <w:rsid w:val="00054259"/>
    <w:rsid w:val="00055157"/>
    <w:rsid w:val="000554E4"/>
    <w:rsid w:val="00056D46"/>
    <w:rsid w:val="00056DA7"/>
    <w:rsid w:val="0005760A"/>
    <w:rsid w:val="000603B9"/>
    <w:rsid w:val="00060EAD"/>
    <w:rsid w:val="0006141E"/>
    <w:rsid w:val="000618F2"/>
    <w:rsid w:val="0006242C"/>
    <w:rsid w:val="00062AF0"/>
    <w:rsid w:val="0006427F"/>
    <w:rsid w:val="00064ADA"/>
    <w:rsid w:val="00065C78"/>
    <w:rsid w:val="00065DA2"/>
    <w:rsid w:val="0006604A"/>
    <w:rsid w:val="000664D1"/>
    <w:rsid w:val="000667B3"/>
    <w:rsid w:val="000668B0"/>
    <w:rsid w:val="000678A1"/>
    <w:rsid w:val="00067CD5"/>
    <w:rsid w:val="00070198"/>
    <w:rsid w:val="00070279"/>
    <w:rsid w:val="00070694"/>
    <w:rsid w:val="000706E4"/>
    <w:rsid w:val="00070711"/>
    <w:rsid w:val="000708B8"/>
    <w:rsid w:val="00070CBE"/>
    <w:rsid w:val="00070FDB"/>
    <w:rsid w:val="000713AD"/>
    <w:rsid w:val="0007221D"/>
    <w:rsid w:val="00072519"/>
    <w:rsid w:val="00074861"/>
    <w:rsid w:val="00074FBB"/>
    <w:rsid w:val="0007586B"/>
    <w:rsid w:val="00075E5B"/>
    <w:rsid w:val="00075EA3"/>
    <w:rsid w:val="000768A4"/>
    <w:rsid w:val="000769E3"/>
    <w:rsid w:val="00076A9A"/>
    <w:rsid w:val="00077178"/>
    <w:rsid w:val="00077937"/>
    <w:rsid w:val="00077A4B"/>
    <w:rsid w:val="00077B0E"/>
    <w:rsid w:val="00077E48"/>
    <w:rsid w:val="00077F7B"/>
    <w:rsid w:val="00080561"/>
    <w:rsid w:val="00080A60"/>
    <w:rsid w:val="00080EBF"/>
    <w:rsid w:val="00081304"/>
    <w:rsid w:val="00081966"/>
    <w:rsid w:val="0008336B"/>
    <w:rsid w:val="000833AC"/>
    <w:rsid w:val="000836B5"/>
    <w:rsid w:val="00083A13"/>
    <w:rsid w:val="00084D6C"/>
    <w:rsid w:val="00084EBF"/>
    <w:rsid w:val="00085120"/>
    <w:rsid w:val="000853E4"/>
    <w:rsid w:val="00086614"/>
    <w:rsid w:val="00086769"/>
    <w:rsid w:val="00087FF8"/>
    <w:rsid w:val="000901D0"/>
    <w:rsid w:val="0009026F"/>
    <w:rsid w:val="00091EB5"/>
    <w:rsid w:val="00092F4B"/>
    <w:rsid w:val="00093120"/>
    <w:rsid w:val="0009338C"/>
    <w:rsid w:val="00093656"/>
    <w:rsid w:val="000936E4"/>
    <w:rsid w:val="00093908"/>
    <w:rsid w:val="00096037"/>
    <w:rsid w:val="0009695B"/>
    <w:rsid w:val="00096EB5"/>
    <w:rsid w:val="00096EE7"/>
    <w:rsid w:val="0009732B"/>
    <w:rsid w:val="000A0EE7"/>
    <w:rsid w:val="000A101F"/>
    <w:rsid w:val="000A13FE"/>
    <w:rsid w:val="000A15D2"/>
    <w:rsid w:val="000A1696"/>
    <w:rsid w:val="000A1A15"/>
    <w:rsid w:val="000A201E"/>
    <w:rsid w:val="000A207B"/>
    <w:rsid w:val="000A32B6"/>
    <w:rsid w:val="000A36EE"/>
    <w:rsid w:val="000A3756"/>
    <w:rsid w:val="000A3E7C"/>
    <w:rsid w:val="000A4698"/>
    <w:rsid w:val="000A4D88"/>
    <w:rsid w:val="000A5885"/>
    <w:rsid w:val="000A599F"/>
    <w:rsid w:val="000A5C2F"/>
    <w:rsid w:val="000A5F3F"/>
    <w:rsid w:val="000A6061"/>
    <w:rsid w:val="000A66D4"/>
    <w:rsid w:val="000A7293"/>
    <w:rsid w:val="000A73CF"/>
    <w:rsid w:val="000A77D5"/>
    <w:rsid w:val="000B0815"/>
    <w:rsid w:val="000B0F50"/>
    <w:rsid w:val="000B10C1"/>
    <w:rsid w:val="000B1393"/>
    <w:rsid w:val="000B1F5B"/>
    <w:rsid w:val="000B4B25"/>
    <w:rsid w:val="000B5404"/>
    <w:rsid w:val="000B5985"/>
    <w:rsid w:val="000B5D1A"/>
    <w:rsid w:val="000B5FB8"/>
    <w:rsid w:val="000B617B"/>
    <w:rsid w:val="000B65DC"/>
    <w:rsid w:val="000B6D4F"/>
    <w:rsid w:val="000B6FB2"/>
    <w:rsid w:val="000B7019"/>
    <w:rsid w:val="000B73CD"/>
    <w:rsid w:val="000B7563"/>
    <w:rsid w:val="000B7909"/>
    <w:rsid w:val="000B7B2B"/>
    <w:rsid w:val="000B7D97"/>
    <w:rsid w:val="000B7F1D"/>
    <w:rsid w:val="000C0868"/>
    <w:rsid w:val="000C09C1"/>
    <w:rsid w:val="000C0A9A"/>
    <w:rsid w:val="000C1329"/>
    <w:rsid w:val="000C1B9C"/>
    <w:rsid w:val="000C21BA"/>
    <w:rsid w:val="000C2ADF"/>
    <w:rsid w:val="000C2C82"/>
    <w:rsid w:val="000C3AE9"/>
    <w:rsid w:val="000C45EF"/>
    <w:rsid w:val="000C489F"/>
    <w:rsid w:val="000C51FD"/>
    <w:rsid w:val="000C6161"/>
    <w:rsid w:val="000C67FB"/>
    <w:rsid w:val="000C6F95"/>
    <w:rsid w:val="000D042F"/>
    <w:rsid w:val="000D1016"/>
    <w:rsid w:val="000D16C1"/>
    <w:rsid w:val="000D2147"/>
    <w:rsid w:val="000D2283"/>
    <w:rsid w:val="000D4177"/>
    <w:rsid w:val="000D597A"/>
    <w:rsid w:val="000D63B8"/>
    <w:rsid w:val="000D6992"/>
    <w:rsid w:val="000D780C"/>
    <w:rsid w:val="000D7BE5"/>
    <w:rsid w:val="000D7EA9"/>
    <w:rsid w:val="000E0AB4"/>
    <w:rsid w:val="000E10EB"/>
    <w:rsid w:val="000E16CE"/>
    <w:rsid w:val="000E171D"/>
    <w:rsid w:val="000E210D"/>
    <w:rsid w:val="000E23F0"/>
    <w:rsid w:val="000E280D"/>
    <w:rsid w:val="000E3123"/>
    <w:rsid w:val="000E37CF"/>
    <w:rsid w:val="000E4731"/>
    <w:rsid w:val="000E519C"/>
    <w:rsid w:val="000E5283"/>
    <w:rsid w:val="000E53F1"/>
    <w:rsid w:val="000E5926"/>
    <w:rsid w:val="000E61B3"/>
    <w:rsid w:val="000E6720"/>
    <w:rsid w:val="000E68A3"/>
    <w:rsid w:val="000E6DD2"/>
    <w:rsid w:val="000E726E"/>
    <w:rsid w:val="000E7C2D"/>
    <w:rsid w:val="000E7F18"/>
    <w:rsid w:val="000F02DE"/>
    <w:rsid w:val="000F0787"/>
    <w:rsid w:val="000F0C07"/>
    <w:rsid w:val="000F10C1"/>
    <w:rsid w:val="000F1516"/>
    <w:rsid w:val="000F1567"/>
    <w:rsid w:val="000F1A9C"/>
    <w:rsid w:val="000F1C91"/>
    <w:rsid w:val="000F1DB2"/>
    <w:rsid w:val="000F3EFA"/>
    <w:rsid w:val="000F4625"/>
    <w:rsid w:val="000F4833"/>
    <w:rsid w:val="000F4B74"/>
    <w:rsid w:val="000F5791"/>
    <w:rsid w:val="000F59E6"/>
    <w:rsid w:val="000F5C0C"/>
    <w:rsid w:val="000F627E"/>
    <w:rsid w:val="000F6BC5"/>
    <w:rsid w:val="000F7157"/>
    <w:rsid w:val="000F729B"/>
    <w:rsid w:val="000F75CA"/>
    <w:rsid w:val="00100458"/>
    <w:rsid w:val="00101043"/>
    <w:rsid w:val="001017AD"/>
    <w:rsid w:val="001017E1"/>
    <w:rsid w:val="00101AF8"/>
    <w:rsid w:val="00101C65"/>
    <w:rsid w:val="00101E52"/>
    <w:rsid w:val="0010219A"/>
    <w:rsid w:val="00102C3A"/>
    <w:rsid w:val="00104438"/>
    <w:rsid w:val="00105067"/>
    <w:rsid w:val="00105583"/>
    <w:rsid w:val="00105C09"/>
    <w:rsid w:val="00106420"/>
    <w:rsid w:val="00106E69"/>
    <w:rsid w:val="001070FF"/>
    <w:rsid w:val="0010734A"/>
    <w:rsid w:val="00107388"/>
    <w:rsid w:val="00107670"/>
    <w:rsid w:val="001076F1"/>
    <w:rsid w:val="001077AD"/>
    <w:rsid w:val="00107F48"/>
    <w:rsid w:val="0011007F"/>
    <w:rsid w:val="0011036A"/>
    <w:rsid w:val="00110498"/>
    <w:rsid w:val="00112A9A"/>
    <w:rsid w:val="00113531"/>
    <w:rsid w:val="001139CE"/>
    <w:rsid w:val="00114CEA"/>
    <w:rsid w:val="0011565F"/>
    <w:rsid w:val="001159F7"/>
    <w:rsid w:val="001163C7"/>
    <w:rsid w:val="0011692F"/>
    <w:rsid w:val="00116FF2"/>
    <w:rsid w:val="00117B4A"/>
    <w:rsid w:val="00120B8E"/>
    <w:rsid w:val="00120E66"/>
    <w:rsid w:val="00121856"/>
    <w:rsid w:val="00121E84"/>
    <w:rsid w:val="00121F4A"/>
    <w:rsid w:val="0012212A"/>
    <w:rsid w:val="00122720"/>
    <w:rsid w:val="00122E77"/>
    <w:rsid w:val="00123007"/>
    <w:rsid w:val="001233A7"/>
    <w:rsid w:val="001237AD"/>
    <w:rsid w:val="001243DF"/>
    <w:rsid w:val="00125A02"/>
    <w:rsid w:val="00126EB2"/>
    <w:rsid w:val="00126F89"/>
    <w:rsid w:val="0012702C"/>
    <w:rsid w:val="0012704E"/>
    <w:rsid w:val="00127F46"/>
    <w:rsid w:val="001307A3"/>
    <w:rsid w:val="00130B0B"/>
    <w:rsid w:val="00130FA8"/>
    <w:rsid w:val="00131D8D"/>
    <w:rsid w:val="00131DFD"/>
    <w:rsid w:val="0013224D"/>
    <w:rsid w:val="00133240"/>
    <w:rsid w:val="00133539"/>
    <w:rsid w:val="001340DE"/>
    <w:rsid w:val="001341F1"/>
    <w:rsid w:val="001343E7"/>
    <w:rsid w:val="001349D3"/>
    <w:rsid w:val="00134AA9"/>
    <w:rsid w:val="0013669B"/>
    <w:rsid w:val="00136EA0"/>
    <w:rsid w:val="001379E3"/>
    <w:rsid w:val="00137B29"/>
    <w:rsid w:val="0014036A"/>
    <w:rsid w:val="0014048D"/>
    <w:rsid w:val="0014062E"/>
    <w:rsid w:val="00141F37"/>
    <w:rsid w:val="00142151"/>
    <w:rsid w:val="00142181"/>
    <w:rsid w:val="001421F9"/>
    <w:rsid w:val="00142361"/>
    <w:rsid w:val="0014269D"/>
    <w:rsid w:val="001428D8"/>
    <w:rsid w:val="00142984"/>
    <w:rsid w:val="00142DF9"/>
    <w:rsid w:val="00142EBC"/>
    <w:rsid w:val="00142EE7"/>
    <w:rsid w:val="00143399"/>
    <w:rsid w:val="001438D8"/>
    <w:rsid w:val="00143C60"/>
    <w:rsid w:val="00144140"/>
    <w:rsid w:val="001442E6"/>
    <w:rsid w:val="001449F9"/>
    <w:rsid w:val="001453A6"/>
    <w:rsid w:val="00145416"/>
    <w:rsid w:val="0014611A"/>
    <w:rsid w:val="00146508"/>
    <w:rsid w:val="00146942"/>
    <w:rsid w:val="00146D6F"/>
    <w:rsid w:val="00147E18"/>
    <w:rsid w:val="00150385"/>
    <w:rsid w:val="0015097E"/>
    <w:rsid w:val="001512E0"/>
    <w:rsid w:val="0015159D"/>
    <w:rsid w:val="00151932"/>
    <w:rsid w:val="001519A6"/>
    <w:rsid w:val="001528C8"/>
    <w:rsid w:val="00153825"/>
    <w:rsid w:val="00153C38"/>
    <w:rsid w:val="00153D7A"/>
    <w:rsid w:val="00154136"/>
    <w:rsid w:val="00154489"/>
    <w:rsid w:val="00154E09"/>
    <w:rsid w:val="001557B2"/>
    <w:rsid w:val="001559BC"/>
    <w:rsid w:val="00155AD5"/>
    <w:rsid w:val="00155D81"/>
    <w:rsid w:val="00155EF0"/>
    <w:rsid w:val="001560AB"/>
    <w:rsid w:val="0015638C"/>
    <w:rsid w:val="00156564"/>
    <w:rsid w:val="001569E0"/>
    <w:rsid w:val="0016022C"/>
    <w:rsid w:val="001622D1"/>
    <w:rsid w:val="00162E5F"/>
    <w:rsid w:val="0016365D"/>
    <w:rsid w:val="00163761"/>
    <w:rsid w:val="00163B16"/>
    <w:rsid w:val="00163FB3"/>
    <w:rsid w:val="00165050"/>
    <w:rsid w:val="00165112"/>
    <w:rsid w:val="001651E0"/>
    <w:rsid w:val="00165260"/>
    <w:rsid w:val="0016611C"/>
    <w:rsid w:val="001675D7"/>
    <w:rsid w:val="001676F8"/>
    <w:rsid w:val="0016795C"/>
    <w:rsid w:val="00167C5A"/>
    <w:rsid w:val="0017021E"/>
    <w:rsid w:val="00171248"/>
    <w:rsid w:val="00171ABB"/>
    <w:rsid w:val="00171D00"/>
    <w:rsid w:val="00172165"/>
    <w:rsid w:val="00172B2D"/>
    <w:rsid w:val="00173422"/>
    <w:rsid w:val="00173951"/>
    <w:rsid w:val="00173EFD"/>
    <w:rsid w:val="0017498B"/>
    <w:rsid w:val="001749E0"/>
    <w:rsid w:val="001758ED"/>
    <w:rsid w:val="001758F1"/>
    <w:rsid w:val="00175C61"/>
    <w:rsid w:val="00175FBD"/>
    <w:rsid w:val="00176B05"/>
    <w:rsid w:val="0017752D"/>
    <w:rsid w:val="00177A0B"/>
    <w:rsid w:val="001802B3"/>
    <w:rsid w:val="001802FE"/>
    <w:rsid w:val="0018099E"/>
    <w:rsid w:val="00181064"/>
    <w:rsid w:val="00181EEC"/>
    <w:rsid w:val="00181FC0"/>
    <w:rsid w:val="00182361"/>
    <w:rsid w:val="001827FE"/>
    <w:rsid w:val="001827FF"/>
    <w:rsid w:val="00182AB2"/>
    <w:rsid w:val="001831DB"/>
    <w:rsid w:val="0018389A"/>
    <w:rsid w:val="001839B1"/>
    <w:rsid w:val="00184DD7"/>
    <w:rsid w:val="0018548A"/>
    <w:rsid w:val="0018576A"/>
    <w:rsid w:val="001864C6"/>
    <w:rsid w:val="00186997"/>
    <w:rsid w:val="00186FA8"/>
    <w:rsid w:val="00187206"/>
    <w:rsid w:val="00187418"/>
    <w:rsid w:val="00187447"/>
    <w:rsid w:val="0019090A"/>
    <w:rsid w:val="00190EE7"/>
    <w:rsid w:val="001910A2"/>
    <w:rsid w:val="00191A5C"/>
    <w:rsid w:val="00191DA1"/>
    <w:rsid w:val="0019236D"/>
    <w:rsid w:val="00192DEA"/>
    <w:rsid w:val="001932CE"/>
    <w:rsid w:val="00194435"/>
    <w:rsid w:val="0019499F"/>
    <w:rsid w:val="00194EC9"/>
    <w:rsid w:val="001963A9"/>
    <w:rsid w:val="00196433"/>
    <w:rsid w:val="00196794"/>
    <w:rsid w:val="001972D2"/>
    <w:rsid w:val="001A0354"/>
    <w:rsid w:val="001A0E7F"/>
    <w:rsid w:val="001A1356"/>
    <w:rsid w:val="001A16F6"/>
    <w:rsid w:val="001A2160"/>
    <w:rsid w:val="001A270C"/>
    <w:rsid w:val="001A2E0E"/>
    <w:rsid w:val="001A35F6"/>
    <w:rsid w:val="001A3ADA"/>
    <w:rsid w:val="001A44A1"/>
    <w:rsid w:val="001A4827"/>
    <w:rsid w:val="001A5313"/>
    <w:rsid w:val="001A55A3"/>
    <w:rsid w:val="001A5754"/>
    <w:rsid w:val="001A5A0D"/>
    <w:rsid w:val="001A6517"/>
    <w:rsid w:val="001A687C"/>
    <w:rsid w:val="001A6A03"/>
    <w:rsid w:val="001A75C0"/>
    <w:rsid w:val="001A777A"/>
    <w:rsid w:val="001A7884"/>
    <w:rsid w:val="001B018B"/>
    <w:rsid w:val="001B0B12"/>
    <w:rsid w:val="001B0D4D"/>
    <w:rsid w:val="001B1183"/>
    <w:rsid w:val="001B181D"/>
    <w:rsid w:val="001B20C8"/>
    <w:rsid w:val="001B2432"/>
    <w:rsid w:val="001B2480"/>
    <w:rsid w:val="001B28D1"/>
    <w:rsid w:val="001B29E7"/>
    <w:rsid w:val="001B2CD5"/>
    <w:rsid w:val="001B341C"/>
    <w:rsid w:val="001B34E1"/>
    <w:rsid w:val="001B3A2A"/>
    <w:rsid w:val="001B3A67"/>
    <w:rsid w:val="001B4080"/>
    <w:rsid w:val="001B4D4F"/>
    <w:rsid w:val="001B530F"/>
    <w:rsid w:val="001B5D29"/>
    <w:rsid w:val="001B6BAC"/>
    <w:rsid w:val="001B6FE4"/>
    <w:rsid w:val="001B7143"/>
    <w:rsid w:val="001B73FB"/>
    <w:rsid w:val="001C0505"/>
    <w:rsid w:val="001C07A0"/>
    <w:rsid w:val="001C0A02"/>
    <w:rsid w:val="001C12AE"/>
    <w:rsid w:val="001C1731"/>
    <w:rsid w:val="001C2005"/>
    <w:rsid w:val="001C2257"/>
    <w:rsid w:val="001C2374"/>
    <w:rsid w:val="001C2874"/>
    <w:rsid w:val="001C2D3D"/>
    <w:rsid w:val="001C3808"/>
    <w:rsid w:val="001C4B77"/>
    <w:rsid w:val="001C50E6"/>
    <w:rsid w:val="001C5445"/>
    <w:rsid w:val="001C5AA2"/>
    <w:rsid w:val="001C77D2"/>
    <w:rsid w:val="001D0172"/>
    <w:rsid w:val="001D0554"/>
    <w:rsid w:val="001D0820"/>
    <w:rsid w:val="001D0EE2"/>
    <w:rsid w:val="001D10BA"/>
    <w:rsid w:val="001D1638"/>
    <w:rsid w:val="001D18EE"/>
    <w:rsid w:val="001D1F05"/>
    <w:rsid w:val="001D2395"/>
    <w:rsid w:val="001D2D6A"/>
    <w:rsid w:val="001D2F43"/>
    <w:rsid w:val="001D44C9"/>
    <w:rsid w:val="001D4699"/>
    <w:rsid w:val="001D54CE"/>
    <w:rsid w:val="001D560A"/>
    <w:rsid w:val="001D5D53"/>
    <w:rsid w:val="001D64A5"/>
    <w:rsid w:val="001D67D8"/>
    <w:rsid w:val="001E0E59"/>
    <w:rsid w:val="001E10B3"/>
    <w:rsid w:val="001E1506"/>
    <w:rsid w:val="001E1DE1"/>
    <w:rsid w:val="001E2387"/>
    <w:rsid w:val="001E2414"/>
    <w:rsid w:val="001E2975"/>
    <w:rsid w:val="001E3170"/>
    <w:rsid w:val="001E3CFA"/>
    <w:rsid w:val="001E3D92"/>
    <w:rsid w:val="001E3E76"/>
    <w:rsid w:val="001E47A8"/>
    <w:rsid w:val="001E4C92"/>
    <w:rsid w:val="001E4EDD"/>
    <w:rsid w:val="001E54A3"/>
    <w:rsid w:val="001E56C6"/>
    <w:rsid w:val="001E5DD0"/>
    <w:rsid w:val="001E7060"/>
    <w:rsid w:val="001E73EE"/>
    <w:rsid w:val="001E742F"/>
    <w:rsid w:val="001E7AA7"/>
    <w:rsid w:val="001F13E8"/>
    <w:rsid w:val="001F2282"/>
    <w:rsid w:val="001F2564"/>
    <w:rsid w:val="001F274B"/>
    <w:rsid w:val="001F27F4"/>
    <w:rsid w:val="001F2BAD"/>
    <w:rsid w:val="001F3441"/>
    <w:rsid w:val="001F360C"/>
    <w:rsid w:val="001F3966"/>
    <w:rsid w:val="001F406D"/>
    <w:rsid w:val="001F473F"/>
    <w:rsid w:val="001F4C39"/>
    <w:rsid w:val="001F6795"/>
    <w:rsid w:val="001F69B9"/>
    <w:rsid w:val="001F6AA3"/>
    <w:rsid w:val="001F7064"/>
    <w:rsid w:val="001F736C"/>
    <w:rsid w:val="001F78EB"/>
    <w:rsid w:val="001F79BF"/>
    <w:rsid w:val="001F7A8A"/>
    <w:rsid w:val="001F7F6A"/>
    <w:rsid w:val="001F7FC4"/>
    <w:rsid w:val="002008F5"/>
    <w:rsid w:val="00201A2C"/>
    <w:rsid w:val="00201E74"/>
    <w:rsid w:val="002020F4"/>
    <w:rsid w:val="00202DA1"/>
    <w:rsid w:val="00203393"/>
    <w:rsid w:val="002036C9"/>
    <w:rsid w:val="002039F3"/>
    <w:rsid w:val="00204067"/>
    <w:rsid w:val="002046A8"/>
    <w:rsid w:val="00204886"/>
    <w:rsid w:val="00204911"/>
    <w:rsid w:val="00205170"/>
    <w:rsid w:val="002056C9"/>
    <w:rsid w:val="002057A0"/>
    <w:rsid w:val="00205BBF"/>
    <w:rsid w:val="00205F9E"/>
    <w:rsid w:val="002069B6"/>
    <w:rsid w:val="00206C57"/>
    <w:rsid w:val="0020718D"/>
    <w:rsid w:val="00207B0D"/>
    <w:rsid w:val="00207D88"/>
    <w:rsid w:val="002106A9"/>
    <w:rsid w:val="00210ABF"/>
    <w:rsid w:val="00210E84"/>
    <w:rsid w:val="002113CE"/>
    <w:rsid w:val="00211A21"/>
    <w:rsid w:val="00211B1B"/>
    <w:rsid w:val="0021281E"/>
    <w:rsid w:val="0021295B"/>
    <w:rsid w:val="00212AC2"/>
    <w:rsid w:val="00213A02"/>
    <w:rsid w:val="00213B89"/>
    <w:rsid w:val="00213CFF"/>
    <w:rsid w:val="00214BF6"/>
    <w:rsid w:val="0021540F"/>
    <w:rsid w:val="002157F0"/>
    <w:rsid w:val="00215C1F"/>
    <w:rsid w:val="002160C1"/>
    <w:rsid w:val="00216164"/>
    <w:rsid w:val="0021650B"/>
    <w:rsid w:val="0021681A"/>
    <w:rsid w:val="00216AEA"/>
    <w:rsid w:val="00216CC6"/>
    <w:rsid w:val="002173E1"/>
    <w:rsid w:val="002176E5"/>
    <w:rsid w:val="00220993"/>
    <w:rsid w:val="00220F81"/>
    <w:rsid w:val="002217A2"/>
    <w:rsid w:val="002218BB"/>
    <w:rsid w:val="00221F07"/>
    <w:rsid w:val="00222664"/>
    <w:rsid w:val="00222A39"/>
    <w:rsid w:val="0022317F"/>
    <w:rsid w:val="00223B88"/>
    <w:rsid w:val="00224D26"/>
    <w:rsid w:val="00224E66"/>
    <w:rsid w:val="0022589D"/>
    <w:rsid w:val="00225CBD"/>
    <w:rsid w:val="0022600D"/>
    <w:rsid w:val="00230A73"/>
    <w:rsid w:val="00230BEE"/>
    <w:rsid w:val="002316F4"/>
    <w:rsid w:val="0023211D"/>
    <w:rsid w:val="00232C57"/>
    <w:rsid w:val="00233901"/>
    <w:rsid w:val="00233E20"/>
    <w:rsid w:val="00234E8D"/>
    <w:rsid w:val="00235D8B"/>
    <w:rsid w:val="00235E1B"/>
    <w:rsid w:val="00235FBC"/>
    <w:rsid w:val="002361F1"/>
    <w:rsid w:val="00237179"/>
    <w:rsid w:val="002377A7"/>
    <w:rsid w:val="00240DC4"/>
    <w:rsid w:val="002429D4"/>
    <w:rsid w:val="00243247"/>
    <w:rsid w:val="00243569"/>
    <w:rsid w:val="0024358B"/>
    <w:rsid w:val="002436C2"/>
    <w:rsid w:val="002438BE"/>
    <w:rsid w:val="00243AEA"/>
    <w:rsid w:val="00243F4A"/>
    <w:rsid w:val="00244178"/>
    <w:rsid w:val="002442A6"/>
    <w:rsid w:val="00244943"/>
    <w:rsid w:val="0024573E"/>
    <w:rsid w:val="00245A64"/>
    <w:rsid w:val="00245CC4"/>
    <w:rsid w:val="002460CD"/>
    <w:rsid w:val="00246672"/>
    <w:rsid w:val="00247147"/>
    <w:rsid w:val="0024720C"/>
    <w:rsid w:val="00247859"/>
    <w:rsid w:val="00250043"/>
    <w:rsid w:val="00250D23"/>
    <w:rsid w:val="00250FC6"/>
    <w:rsid w:val="0025109F"/>
    <w:rsid w:val="00251152"/>
    <w:rsid w:val="00251380"/>
    <w:rsid w:val="00251F83"/>
    <w:rsid w:val="0025228E"/>
    <w:rsid w:val="002529A7"/>
    <w:rsid w:val="00252B62"/>
    <w:rsid w:val="00252C43"/>
    <w:rsid w:val="00253890"/>
    <w:rsid w:val="00253A48"/>
    <w:rsid w:val="002541AC"/>
    <w:rsid w:val="002558C9"/>
    <w:rsid w:val="00255E62"/>
    <w:rsid w:val="00255E68"/>
    <w:rsid w:val="0025632D"/>
    <w:rsid w:val="00256442"/>
    <w:rsid w:val="002568F8"/>
    <w:rsid w:val="00256938"/>
    <w:rsid w:val="00257246"/>
    <w:rsid w:val="00257D20"/>
    <w:rsid w:val="00257EF3"/>
    <w:rsid w:val="00260044"/>
    <w:rsid w:val="00260791"/>
    <w:rsid w:val="00260A62"/>
    <w:rsid w:val="00260ACF"/>
    <w:rsid w:val="00260BF2"/>
    <w:rsid w:val="00260E29"/>
    <w:rsid w:val="002614F1"/>
    <w:rsid w:val="0026185A"/>
    <w:rsid w:val="00261A3A"/>
    <w:rsid w:val="0026238C"/>
    <w:rsid w:val="002623B6"/>
    <w:rsid w:val="00262F79"/>
    <w:rsid w:val="00263A62"/>
    <w:rsid w:val="00263D97"/>
    <w:rsid w:val="002647FE"/>
    <w:rsid w:val="00264BAD"/>
    <w:rsid w:val="00265150"/>
    <w:rsid w:val="0026579C"/>
    <w:rsid w:val="002659EF"/>
    <w:rsid w:val="00265BD7"/>
    <w:rsid w:val="00265C86"/>
    <w:rsid w:val="00265D93"/>
    <w:rsid w:val="00266281"/>
    <w:rsid w:val="002666DF"/>
    <w:rsid w:val="0027014D"/>
    <w:rsid w:val="00271557"/>
    <w:rsid w:val="00271656"/>
    <w:rsid w:val="00272350"/>
    <w:rsid w:val="00272828"/>
    <w:rsid w:val="00272DC9"/>
    <w:rsid w:val="002736DC"/>
    <w:rsid w:val="002739AB"/>
    <w:rsid w:val="00273DC8"/>
    <w:rsid w:val="00274205"/>
    <w:rsid w:val="00274446"/>
    <w:rsid w:val="0027474F"/>
    <w:rsid w:val="00274856"/>
    <w:rsid w:val="00275138"/>
    <w:rsid w:val="0027520A"/>
    <w:rsid w:val="0027544F"/>
    <w:rsid w:val="00275496"/>
    <w:rsid w:val="00275ACB"/>
    <w:rsid w:val="00275FE4"/>
    <w:rsid w:val="00276471"/>
    <w:rsid w:val="00277830"/>
    <w:rsid w:val="00277C28"/>
    <w:rsid w:val="0028173D"/>
    <w:rsid w:val="002826D9"/>
    <w:rsid w:val="002828D5"/>
    <w:rsid w:val="00282A4E"/>
    <w:rsid w:val="00282AA0"/>
    <w:rsid w:val="00282F17"/>
    <w:rsid w:val="002833C2"/>
    <w:rsid w:val="0028370F"/>
    <w:rsid w:val="0028385B"/>
    <w:rsid w:val="002838C7"/>
    <w:rsid w:val="00284029"/>
    <w:rsid w:val="002841F5"/>
    <w:rsid w:val="00284894"/>
    <w:rsid w:val="00285391"/>
    <w:rsid w:val="00285C39"/>
    <w:rsid w:val="00285FBC"/>
    <w:rsid w:val="00286173"/>
    <w:rsid w:val="0028708A"/>
    <w:rsid w:val="002874A4"/>
    <w:rsid w:val="002876C8"/>
    <w:rsid w:val="00287809"/>
    <w:rsid w:val="00287AC4"/>
    <w:rsid w:val="00287E5F"/>
    <w:rsid w:val="00290ABA"/>
    <w:rsid w:val="00290D58"/>
    <w:rsid w:val="0029123B"/>
    <w:rsid w:val="002912C8"/>
    <w:rsid w:val="002913AC"/>
    <w:rsid w:val="0029156E"/>
    <w:rsid w:val="00292CF9"/>
    <w:rsid w:val="002939FD"/>
    <w:rsid w:val="0029523A"/>
    <w:rsid w:val="00295CFB"/>
    <w:rsid w:val="002A0256"/>
    <w:rsid w:val="002A12D5"/>
    <w:rsid w:val="002A1CFF"/>
    <w:rsid w:val="002A1DEC"/>
    <w:rsid w:val="002A22C0"/>
    <w:rsid w:val="002A2340"/>
    <w:rsid w:val="002A235F"/>
    <w:rsid w:val="002A28EF"/>
    <w:rsid w:val="002A2964"/>
    <w:rsid w:val="002A39F2"/>
    <w:rsid w:val="002A4442"/>
    <w:rsid w:val="002A4476"/>
    <w:rsid w:val="002A4F7A"/>
    <w:rsid w:val="002A675E"/>
    <w:rsid w:val="002A7103"/>
    <w:rsid w:val="002A7A54"/>
    <w:rsid w:val="002A7A5A"/>
    <w:rsid w:val="002A7D18"/>
    <w:rsid w:val="002A7D26"/>
    <w:rsid w:val="002A7EE2"/>
    <w:rsid w:val="002B0E66"/>
    <w:rsid w:val="002B100B"/>
    <w:rsid w:val="002B16A6"/>
    <w:rsid w:val="002B1CC6"/>
    <w:rsid w:val="002B1D9C"/>
    <w:rsid w:val="002B1E1B"/>
    <w:rsid w:val="002B2962"/>
    <w:rsid w:val="002B2C2B"/>
    <w:rsid w:val="002B311D"/>
    <w:rsid w:val="002B3688"/>
    <w:rsid w:val="002B39E4"/>
    <w:rsid w:val="002B3B16"/>
    <w:rsid w:val="002B3CDB"/>
    <w:rsid w:val="002B3E53"/>
    <w:rsid w:val="002B49B0"/>
    <w:rsid w:val="002B5241"/>
    <w:rsid w:val="002B527E"/>
    <w:rsid w:val="002B542B"/>
    <w:rsid w:val="002B56DD"/>
    <w:rsid w:val="002B5A82"/>
    <w:rsid w:val="002B6673"/>
    <w:rsid w:val="002B6976"/>
    <w:rsid w:val="002B6BFC"/>
    <w:rsid w:val="002B6F45"/>
    <w:rsid w:val="002B723B"/>
    <w:rsid w:val="002B75A4"/>
    <w:rsid w:val="002C0EFE"/>
    <w:rsid w:val="002C0F8E"/>
    <w:rsid w:val="002C1F25"/>
    <w:rsid w:val="002C27EF"/>
    <w:rsid w:val="002C2C84"/>
    <w:rsid w:val="002C3A5F"/>
    <w:rsid w:val="002C40FF"/>
    <w:rsid w:val="002C5867"/>
    <w:rsid w:val="002C5DC3"/>
    <w:rsid w:val="002C681B"/>
    <w:rsid w:val="002C6EF7"/>
    <w:rsid w:val="002C7636"/>
    <w:rsid w:val="002C7AD2"/>
    <w:rsid w:val="002C7B60"/>
    <w:rsid w:val="002C7F8F"/>
    <w:rsid w:val="002D0369"/>
    <w:rsid w:val="002D0883"/>
    <w:rsid w:val="002D0F3B"/>
    <w:rsid w:val="002D1228"/>
    <w:rsid w:val="002D1698"/>
    <w:rsid w:val="002D1A5B"/>
    <w:rsid w:val="002D1B55"/>
    <w:rsid w:val="002D1C03"/>
    <w:rsid w:val="002D1D5A"/>
    <w:rsid w:val="002D2189"/>
    <w:rsid w:val="002D37BA"/>
    <w:rsid w:val="002D42AF"/>
    <w:rsid w:val="002D447D"/>
    <w:rsid w:val="002D479C"/>
    <w:rsid w:val="002D4D99"/>
    <w:rsid w:val="002D508F"/>
    <w:rsid w:val="002D560D"/>
    <w:rsid w:val="002D5F7E"/>
    <w:rsid w:val="002D667D"/>
    <w:rsid w:val="002D67DB"/>
    <w:rsid w:val="002D6BF8"/>
    <w:rsid w:val="002D6C85"/>
    <w:rsid w:val="002D75AD"/>
    <w:rsid w:val="002D7E87"/>
    <w:rsid w:val="002D7F48"/>
    <w:rsid w:val="002E0BF9"/>
    <w:rsid w:val="002E137C"/>
    <w:rsid w:val="002E15D6"/>
    <w:rsid w:val="002E16FA"/>
    <w:rsid w:val="002E235E"/>
    <w:rsid w:val="002E23CB"/>
    <w:rsid w:val="002E2945"/>
    <w:rsid w:val="002E2BF9"/>
    <w:rsid w:val="002E352F"/>
    <w:rsid w:val="002E3605"/>
    <w:rsid w:val="002E3657"/>
    <w:rsid w:val="002E42E4"/>
    <w:rsid w:val="002E4CF3"/>
    <w:rsid w:val="002E5467"/>
    <w:rsid w:val="002E7362"/>
    <w:rsid w:val="002E740F"/>
    <w:rsid w:val="002E7760"/>
    <w:rsid w:val="002E79D0"/>
    <w:rsid w:val="002F0C2A"/>
    <w:rsid w:val="002F1182"/>
    <w:rsid w:val="002F1BB5"/>
    <w:rsid w:val="002F1EF9"/>
    <w:rsid w:val="002F2EDD"/>
    <w:rsid w:val="002F4B1C"/>
    <w:rsid w:val="002F4E45"/>
    <w:rsid w:val="002F4E6E"/>
    <w:rsid w:val="002F4F0F"/>
    <w:rsid w:val="002F502B"/>
    <w:rsid w:val="002F5EF0"/>
    <w:rsid w:val="002F5FE7"/>
    <w:rsid w:val="002F6749"/>
    <w:rsid w:val="002F6C8B"/>
    <w:rsid w:val="002F76AF"/>
    <w:rsid w:val="003020A1"/>
    <w:rsid w:val="003021D2"/>
    <w:rsid w:val="003025E3"/>
    <w:rsid w:val="00302752"/>
    <w:rsid w:val="00302958"/>
    <w:rsid w:val="00304D33"/>
    <w:rsid w:val="00305C80"/>
    <w:rsid w:val="00305C87"/>
    <w:rsid w:val="0030604A"/>
    <w:rsid w:val="003066AA"/>
    <w:rsid w:val="003106F5"/>
    <w:rsid w:val="00310833"/>
    <w:rsid w:val="00310985"/>
    <w:rsid w:val="0031249B"/>
    <w:rsid w:val="0031301C"/>
    <w:rsid w:val="00313023"/>
    <w:rsid w:val="00313ADF"/>
    <w:rsid w:val="0031471C"/>
    <w:rsid w:val="0031477C"/>
    <w:rsid w:val="00315616"/>
    <w:rsid w:val="00315EC2"/>
    <w:rsid w:val="003177A7"/>
    <w:rsid w:val="00320A90"/>
    <w:rsid w:val="00320E4A"/>
    <w:rsid w:val="00320E7D"/>
    <w:rsid w:val="00321031"/>
    <w:rsid w:val="003213DC"/>
    <w:rsid w:val="0032143A"/>
    <w:rsid w:val="00321AA0"/>
    <w:rsid w:val="0032206F"/>
    <w:rsid w:val="00322975"/>
    <w:rsid w:val="00322B34"/>
    <w:rsid w:val="00323F12"/>
    <w:rsid w:val="003240BB"/>
    <w:rsid w:val="00324AD6"/>
    <w:rsid w:val="00324CB2"/>
    <w:rsid w:val="00324F74"/>
    <w:rsid w:val="00325251"/>
    <w:rsid w:val="00325A16"/>
    <w:rsid w:val="003260FB"/>
    <w:rsid w:val="0032688A"/>
    <w:rsid w:val="00326F12"/>
    <w:rsid w:val="00326F20"/>
    <w:rsid w:val="00327AF6"/>
    <w:rsid w:val="00327FA2"/>
    <w:rsid w:val="003300CA"/>
    <w:rsid w:val="00331120"/>
    <w:rsid w:val="003317DF"/>
    <w:rsid w:val="0033202C"/>
    <w:rsid w:val="00332AE5"/>
    <w:rsid w:val="0033347C"/>
    <w:rsid w:val="003334D8"/>
    <w:rsid w:val="00333947"/>
    <w:rsid w:val="00334437"/>
    <w:rsid w:val="00335527"/>
    <w:rsid w:val="00335C9E"/>
    <w:rsid w:val="00336421"/>
    <w:rsid w:val="003366DA"/>
    <w:rsid w:val="00337088"/>
    <w:rsid w:val="00337327"/>
    <w:rsid w:val="003373EC"/>
    <w:rsid w:val="00337BA9"/>
    <w:rsid w:val="00340963"/>
    <w:rsid w:val="00341158"/>
    <w:rsid w:val="003417BF"/>
    <w:rsid w:val="0034232C"/>
    <w:rsid w:val="00342A6F"/>
    <w:rsid w:val="00342E2F"/>
    <w:rsid w:val="00343599"/>
    <w:rsid w:val="00344254"/>
    <w:rsid w:val="00344F0A"/>
    <w:rsid w:val="00345582"/>
    <w:rsid w:val="0034588B"/>
    <w:rsid w:val="00346102"/>
    <w:rsid w:val="003461EB"/>
    <w:rsid w:val="00347013"/>
    <w:rsid w:val="003476D2"/>
    <w:rsid w:val="00347E84"/>
    <w:rsid w:val="003505D6"/>
    <w:rsid w:val="00350613"/>
    <w:rsid w:val="00350795"/>
    <w:rsid w:val="00350A08"/>
    <w:rsid w:val="00350DD7"/>
    <w:rsid w:val="003511BF"/>
    <w:rsid w:val="00351793"/>
    <w:rsid w:val="00351F02"/>
    <w:rsid w:val="003521E0"/>
    <w:rsid w:val="0035278B"/>
    <w:rsid w:val="00352C48"/>
    <w:rsid w:val="0035340F"/>
    <w:rsid w:val="00354633"/>
    <w:rsid w:val="003549A7"/>
    <w:rsid w:val="00354DB2"/>
    <w:rsid w:val="00354E00"/>
    <w:rsid w:val="00355AF0"/>
    <w:rsid w:val="003569D8"/>
    <w:rsid w:val="00357242"/>
    <w:rsid w:val="003576AC"/>
    <w:rsid w:val="00357B03"/>
    <w:rsid w:val="00360C08"/>
    <w:rsid w:val="00361614"/>
    <w:rsid w:val="00361D32"/>
    <w:rsid w:val="00362724"/>
    <w:rsid w:val="00362748"/>
    <w:rsid w:val="003631DB"/>
    <w:rsid w:val="003634DB"/>
    <w:rsid w:val="00363A43"/>
    <w:rsid w:val="003642FA"/>
    <w:rsid w:val="003644D6"/>
    <w:rsid w:val="0036451D"/>
    <w:rsid w:val="00364F1C"/>
    <w:rsid w:val="00366986"/>
    <w:rsid w:val="00366AF0"/>
    <w:rsid w:val="0036745A"/>
    <w:rsid w:val="003676EB"/>
    <w:rsid w:val="003707D6"/>
    <w:rsid w:val="00370F88"/>
    <w:rsid w:val="0037142C"/>
    <w:rsid w:val="003714BD"/>
    <w:rsid w:val="003719AE"/>
    <w:rsid w:val="00371D65"/>
    <w:rsid w:val="00371E41"/>
    <w:rsid w:val="0037202A"/>
    <w:rsid w:val="00372355"/>
    <w:rsid w:val="00372A46"/>
    <w:rsid w:val="00372D66"/>
    <w:rsid w:val="003731FC"/>
    <w:rsid w:val="00373384"/>
    <w:rsid w:val="0037363C"/>
    <w:rsid w:val="00373C3F"/>
    <w:rsid w:val="00373F41"/>
    <w:rsid w:val="00374685"/>
    <w:rsid w:val="00374B33"/>
    <w:rsid w:val="00374F0A"/>
    <w:rsid w:val="003753A0"/>
    <w:rsid w:val="00375F03"/>
    <w:rsid w:val="003760DC"/>
    <w:rsid w:val="00376646"/>
    <w:rsid w:val="00376E8B"/>
    <w:rsid w:val="00377C70"/>
    <w:rsid w:val="0038025D"/>
    <w:rsid w:val="00380424"/>
    <w:rsid w:val="00380434"/>
    <w:rsid w:val="003807E1"/>
    <w:rsid w:val="00381276"/>
    <w:rsid w:val="00381A7B"/>
    <w:rsid w:val="00382251"/>
    <w:rsid w:val="00382453"/>
    <w:rsid w:val="003824B0"/>
    <w:rsid w:val="00382C04"/>
    <w:rsid w:val="0038463C"/>
    <w:rsid w:val="003849DC"/>
    <w:rsid w:val="003859C5"/>
    <w:rsid w:val="00385C5D"/>
    <w:rsid w:val="003861EE"/>
    <w:rsid w:val="00386269"/>
    <w:rsid w:val="00386BD1"/>
    <w:rsid w:val="00386C27"/>
    <w:rsid w:val="00386F19"/>
    <w:rsid w:val="00387057"/>
    <w:rsid w:val="0038707C"/>
    <w:rsid w:val="00387D4C"/>
    <w:rsid w:val="00390618"/>
    <w:rsid w:val="00390D2A"/>
    <w:rsid w:val="00390DF0"/>
    <w:rsid w:val="00390F89"/>
    <w:rsid w:val="00391B9F"/>
    <w:rsid w:val="00391F9B"/>
    <w:rsid w:val="003934AA"/>
    <w:rsid w:val="00394414"/>
    <w:rsid w:val="00394702"/>
    <w:rsid w:val="00394E7C"/>
    <w:rsid w:val="00395790"/>
    <w:rsid w:val="00395F67"/>
    <w:rsid w:val="003970FF"/>
    <w:rsid w:val="00397A0A"/>
    <w:rsid w:val="00397BEC"/>
    <w:rsid w:val="003A13D8"/>
    <w:rsid w:val="003A1588"/>
    <w:rsid w:val="003A1794"/>
    <w:rsid w:val="003A1B06"/>
    <w:rsid w:val="003A1B1B"/>
    <w:rsid w:val="003A30E2"/>
    <w:rsid w:val="003A32EE"/>
    <w:rsid w:val="003A4A39"/>
    <w:rsid w:val="003A4D9D"/>
    <w:rsid w:val="003A4DA5"/>
    <w:rsid w:val="003A61F8"/>
    <w:rsid w:val="003A630A"/>
    <w:rsid w:val="003A638C"/>
    <w:rsid w:val="003A6A14"/>
    <w:rsid w:val="003A779E"/>
    <w:rsid w:val="003A7BD0"/>
    <w:rsid w:val="003A7C97"/>
    <w:rsid w:val="003B0024"/>
    <w:rsid w:val="003B0226"/>
    <w:rsid w:val="003B1810"/>
    <w:rsid w:val="003B1998"/>
    <w:rsid w:val="003B336E"/>
    <w:rsid w:val="003B3400"/>
    <w:rsid w:val="003B4FC8"/>
    <w:rsid w:val="003B56A7"/>
    <w:rsid w:val="003B59C3"/>
    <w:rsid w:val="003B68B3"/>
    <w:rsid w:val="003B6AB3"/>
    <w:rsid w:val="003B6C6C"/>
    <w:rsid w:val="003B7434"/>
    <w:rsid w:val="003B7946"/>
    <w:rsid w:val="003C014C"/>
    <w:rsid w:val="003C05C3"/>
    <w:rsid w:val="003C0EFB"/>
    <w:rsid w:val="003C12FC"/>
    <w:rsid w:val="003C14C2"/>
    <w:rsid w:val="003C249E"/>
    <w:rsid w:val="003C2B5C"/>
    <w:rsid w:val="003C2EBC"/>
    <w:rsid w:val="003C3897"/>
    <w:rsid w:val="003C3B11"/>
    <w:rsid w:val="003C3DB0"/>
    <w:rsid w:val="003C443C"/>
    <w:rsid w:val="003C4DF5"/>
    <w:rsid w:val="003C6F87"/>
    <w:rsid w:val="003C6FE1"/>
    <w:rsid w:val="003C7D3D"/>
    <w:rsid w:val="003D0E09"/>
    <w:rsid w:val="003D15B3"/>
    <w:rsid w:val="003D16CA"/>
    <w:rsid w:val="003D1CAA"/>
    <w:rsid w:val="003D2400"/>
    <w:rsid w:val="003D2FA1"/>
    <w:rsid w:val="003D3783"/>
    <w:rsid w:val="003D3851"/>
    <w:rsid w:val="003D3AFA"/>
    <w:rsid w:val="003D4014"/>
    <w:rsid w:val="003D4050"/>
    <w:rsid w:val="003D5317"/>
    <w:rsid w:val="003D5814"/>
    <w:rsid w:val="003D5FF5"/>
    <w:rsid w:val="003D655C"/>
    <w:rsid w:val="003D6912"/>
    <w:rsid w:val="003D780E"/>
    <w:rsid w:val="003D7DA7"/>
    <w:rsid w:val="003E057E"/>
    <w:rsid w:val="003E11AF"/>
    <w:rsid w:val="003E1E0D"/>
    <w:rsid w:val="003E1EA3"/>
    <w:rsid w:val="003E1EBB"/>
    <w:rsid w:val="003E238A"/>
    <w:rsid w:val="003E3882"/>
    <w:rsid w:val="003E45A2"/>
    <w:rsid w:val="003E5A6F"/>
    <w:rsid w:val="003E6CF4"/>
    <w:rsid w:val="003E76B8"/>
    <w:rsid w:val="003E7719"/>
    <w:rsid w:val="003E784D"/>
    <w:rsid w:val="003E7CDA"/>
    <w:rsid w:val="003E7F4A"/>
    <w:rsid w:val="003F01FA"/>
    <w:rsid w:val="003F058E"/>
    <w:rsid w:val="003F07DE"/>
    <w:rsid w:val="003F0ABE"/>
    <w:rsid w:val="003F10C1"/>
    <w:rsid w:val="003F10C7"/>
    <w:rsid w:val="003F13B6"/>
    <w:rsid w:val="003F1BAE"/>
    <w:rsid w:val="003F2850"/>
    <w:rsid w:val="003F3546"/>
    <w:rsid w:val="003F3877"/>
    <w:rsid w:val="003F39A8"/>
    <w:rsid w:val="003F4987"/>
    <w:rsid w:val="003F4EF1"/>
    <w:rsid w:val="003F5655"/>
    <w:rsid w:val="003F6F3B"/>
    <w:rsid w:val="003F730D"/>
    <w:rsid w:val="003F7E37"/>
    <w:rsid w:val="004000C0"/>
    <w:rsid w:val="0040053C"/>
    <w:rsid w:val="0040174D"/>
    <w:rsid w:val="00401E9A"/>
    <w:rsid w:val="00402541"/>
    <w:rsid w:val="00402602"/>
    <w:rsid w:val="0040299E"/>
    <w:rsid w:val="004029B6"/>
    <w:rsid w:val="00402D4D"/>
    <w:rsid w:val="0040317D"/>
    <w:rsid w:val="00403519"/>
    <w:rsid w:val="00403849"/>
    <w:rsid w:val="004045B8"/>
    <w:rsid w:val="00405305"/>
    <w:rsid w:val="00405ECB"/>
    <w:rsid w:val="00405FB6"/>
    <w:rsid w:val="0040602B"/>
    <w:rsid w:val="00406161"/>
    <w:rsid w:val="00406F85"/>
    <w:rsid w:val="00407037"/>
    <w:rsid w:val="00407235"/>
    <w:rsid w:val="00407369"/>
    <w:rsid w:val="0040793D"/>
    <w:rsid w:val="00407AA3"/>
    <w:rsid w:val="00407F38"/>
    <w:rsid w:val="0041004A"/>
    <w:rsid w:val="00410583"/>
    <w:rsid w:val="004110D8"/>
    <w:rsid w:val="004111AC"/>
    <w:rsid w:val="004117C9"/>
    <w:rsid w:val="00412049"/>
    <w:rsid w:val="004120F3"/>
    <w:rsid w:val="004135A6"/>
    <w:rsid w:val="004136F7"/>
    <w:rsid w:val="00413AED"/>
    <w:rsid w:val="004141F9"/>
    <w:rsid w:val="00414275"/>
    <w:rsid w:val="00414354"/>
    <w:rsid w:val="00414942"/>
    <w:rsid w:val="00414E48"/>
    <w:rsid w:val="00414FA7"/>
    <w:rsid w:val="0041535E"/>
    <w:rsid w:val="0041580A"/>
    <w:rsid w:val="00415AB4"/>
    <w:rsid w:val="004162D4"/>
    <w:rsid w:val="00416F88"/>
    <w:rsid w:val="0041773F"/>
    <w:rsid w:val="004177A6"/>
    <w:rsid w:val="004201A3"/>
    <w:rsid w:val="00420355"/>
    <w:rsid w:val="00420AF4"/>
    <w:rsid w:val="00420DCE"/>
    <w:rsid w:val="00421909"/>
    <w:rsid w:val="00422BFC"/>
    <w:rsid w:val="00422DB7"/>
    <w:rsid w:val="00423105"/>
    <w:rsid w:val="004247F8"/>
    <w:rsid w:val="0042493B"/>
    <w:rsid w:val="00424F64"/>
    <w:rsid w:val="0042537A"/>
    <w:rsid w:val="00425BED"/>
    <w:rsid w:val="00426347"/>
    <w:rsid w:val="004268A9"/>
    <w:rsid w:val="0042690E"/>
    <w:rsid w:val="004271A7"/>
    <w:rsid w:val="0042779B"/>
    <w:rsid w:val="0042786A"/>
    <w:rsid w:val="00427E79"/>
    <w:rsid w:val="00430261"/>
    <w:rsid w:val="00430947"/>
    <w:rsid w:val="00430E13"/>
    <w:rsid w:val="00431609"/>
    <w:rsid w:val="00432859"/>
    <w:rsid w:val="00432972"/>
    <w:rsid w:val="00432995"/>
    <w:rsid w:val="00432D95"/>
    <w:rsid w:val="00432EE9"/>
    <w:rsid w:val="00433D7D"/>
    <w:rsid w:val="00433E63"/>
    <w:rsid w:val="00435C58"/>
    <w:rsid w:val="00436219"/>
    <w:rsid w:val="00437384"/>
    <w:rsid w:val="00437F7B"/>
    <w:rsid w:val="00440345"/>
    <w:rsid w:val="004403A0"/>
    <w:rsid w:val="00440AE0"/>
    <w:rsid w:val="00440E09"/>
    <w:rsid w:val="00441EDA"/>
    <w:rsid w:val="00442713"/>
    <w:rsid w:val="00442760"/>
    <w:rsid w:val="004431A2"/>
    <w:rsid w:val="0044336D"/>
    <w:rsid w:val="004446C1"/>
    <w:rsid w:val="004447F1"/>
    <w:rsid w:val="00444A2A"/>
    <w:rsid w:val="0044572D"/>
    <w:rsid w:val="00445B4D"/>
    <w:rsid w:val="004468B3"/>
    <w:rsid w:val="00446EA9"/>
    <w:rsid w:val="00447A1B"/>
    <w:rsid w:val="00447E4C"/>
    <w:rsid w:val="00450902"/>
    <w:rsid w:val="00450DD6"/>
    <w:rsid w:val="004511D3"/>
    <w:rsid w:val="00452079"/>
    <w:rsid w:val="0045212F"/>
    <w:rsid w:val="0045254F"/>
    <w:rsid w:val="00453251"/>
    <w:rsid w:val="00453CCC"/>
    <w:rsid w:val="00453F08"/>
    <w:rsid w:val="004546C2"/>
    <w:rsid w:val="00454B09"/>
    <w:rsid w:val="00454E28"/>
    <w:rsid w:val="00455791"/>
    <w:rsid w:val="00455DED"/>
    <w:rsid w:val="00455E6F"/>
    <w:rsid w:val="0045635C"/>
    <w:rsid w:val="00460328"/>
    <w:rsid w:val="00460608"/>
    <w:rsid w:val="004606EA"/>
    <w:rsid w:val="004614C2"/>
    <w:rsid w:val="00461E71"/>
    <w:rsid w:val="004627A7"/>
    <w:rsid w:val="004632F7"/>
    <w:rsid w:val="00463A69"/>
    <w:rsid w:val="004656A3"/>
    <w:rsid w:val="00465BDB"/>
    <w:rsid w:val="00465C01"/>
    <w:rsid w:val="00466001"/>
    <w:rsid w:val="0046609B"/>
    <w:rsid w:val="00466E32"/>
    <w:rsid w:val="004670AF"/>
    <w:rsid w:val="004702F3"/>
    <w:rsid w:val="00471680"/>
    <w:rsid w:val="00471A89"/>
    <w:rsid w:val="00473112"/>
    <w:rsid w:val="0047321F"/>
    <w:rsid w:val="00473F64"/>
    <w:rsid w:val="00474426"/>
    <w:rsid w:val="004758A8"/>
    <w:rsid w:val="00475A72"/>
    <w:rsid w:val="00476120"/>
    <w:rsid w:val="0047691C"/>
    <w:rsid w:val="00476E3D"/>
    <w:rsid w:val="00480006"/>
    <w:rsid w:val="0048078B"/>
    <w:rsid w:val="00481452"/>
    <w:rsid w:val="00481854"/>
    <w:rsid w:val="00482142"/>
    <w:rsid w:val="00482DA9"/>
    <w:rsid w:val="00483AD4"/>
    <w:rsid w:val="00483C84"/>
    <w:rsid w:val="00483EA2"/>
    <w:rsid w:val="00485A4E"/>
    <w:rsid w:val="004861E0"/>
    <w:rsid w:val="004866FD"/>
    <w:rsid w:val="004871D2"/>
    <w:rsid w:val="0048738F"/>
    <w:rsid w:val="004902C5"/>
    <w:rsid w:val="00491878"/>
    <w:rsid w:val="0049195A"/>
    <w:rsid w:val="00491F44"/>
    <w:rsid w:val="00492671"/>
    <w:rsid w:val="0049289B"/>
    <w:rsid w:val="00492FAC"/>
    <w:rsid w:val="00493F09"/>
    <w:rsid w:val="00493F16"/>
    <w:rsid w:val="00494505"/>
    <w:rsid w:val="00494CB8"/>
    <w:rsid w:val="00494D96"/>
    <w:rsid w:val="00496142"/>
    <w:rsid w:val="00496C01"/>
    <w:rsid w:val="00496EF0"/>
    <w:rsid w:val="00496EF4"/>
    <w:rsid w:val="00497228"/>
    <w:rsid w:val="00497AC7"/>
    <w:rsid w:val="00497DBE"/>
    <w:rsid w:val="00497F2D"/>
    <w:rsid w:val="004A0471"/>
    <w:rsid w:val="004A0BAC"/>
    <w:rsid w:val="004A18A3"/>
    <w:rsid w:val="004A2025"/>
    <w:rsid w:val="004A207E"/>
    <w:rsid w:val="004A2472"/>
    <w:rsid w:val="004A2C8B"/>
    <w:rsid w:val="004A364C"/>
    <w:rsid w:val="004A3D11"/>
    <w:rsid w:val="004A4218"/>
    <w:rsid w:val="004A48A8"/>
    <w:rsid w:val="004A4D60"/>
    <w:rsid w:val="004A53AF"/>
    <w:rsid w:val="004A61ED"/>
    <w:rsid w:val="004A6511"/>
    <w:rsid w:val="004A6784"/>
    <w:rsid w:val="004A7642"/>
    <w:rsid w:val="004A7BF9"/>
    <w:rsid w:val="004A7CE6"/>
    <w:rsid w:val="004B0773"/>
    <w:rsid w:val="004B0951"/>
    <w:rsid w:val="004B0E5F"/>
    <w:rsid w:val="004B117B"/>
    <w:rsid w:val="004B2034"/>
    <w:rsid w:val="004B2B68"/>
    <w:rsid w:val="004B2FCA"/>
    <w:rsid w:val="004B3006"/>
    <w:rsid w:val="004B3382"/>
    <w:rsid w:val="004B33C3"/>
    <w:rsid w:val="004B382D"/>
    <w:rsid w:val="004B3D71"/>
    <w:rsid w:val="004B3FDB"/>
    <w:rsid w:val="004B4A92"/>
    <w:rsid w:val="004B4F93"/>
    <w:rsid w:val="004B50E5"/>
    <w:rsid w:val="004B59EA"/>
    <w:rsid w:val="004B650B"/>
    <w:rsid w:val="004B6BB9"/>
    <w:rsid w:val="004B705F"/>
    <w:rsid w:val="004B738A"/>
    <w:rsid w:val="004B78C3"/>
    <w:rsid w:val="004C0361"/>
    <w:rsid w:val="004C0421"/>
    <w:rsid w:val="004C0DB3"/>
    <w:rsid w:val="004C0E7E"/>
    <w:rsid w:val="004C13DE"/>
    <w:rsid w:val="004C1933"/>
    <w:rsid w:val="004C23BC"/>
    <w:rsid w:val="004C2422"/>
    <w:rsid w:val="004C2656"/>
    <w:rsid w:val="004C298C"/>
    <w:rsid w:val="004C2B8C"/>
    <w:rsid w:val="004C2C0A"/>
    <w:rsid w:val="004C3655"/>
    <w:rsid w:val="004C371F"/>
    <w:rsid w:val="004C38F6"/>
    <w:rsid w:val="004C396C"/>
    <w:rsid w:val="004C3B96"/>
    <w:rsid w:val="004C4736"/>
    <w:rsid w:val="004C6394"/>
    <w:rsid w:val="004C69C4"/>
    <w:rsid w:val="004C6BCB"/>
    <w:rsid w:val="004C7017"/>
    <w:rsid w:val="004D02CD"/>
    <w:rsid w:val="004D06A9"/>
    <w:rsid w:val="004D0F9D"/>
    <w:rsid w:val="004D15A1"/>
    <w:rsid w:val="004D1E3D"/>
    <w:rsid w:val="004D2AA9"/>
    <w:rsid w:val="004D2E65"/>
    <w:rsid w:val="004D2F3D"/>
    <w:rsid w:val="004D3877"/>
    <w:rsid w:val="004D3DF4"/>
    <w:rsid w:val="004D4493"/>
    <w:rsid w:val="004D49C8"/>
    <w:rsid w:val="004D4E75"/>
    <w:rsid w:val="004D5918"/>
    <w:rsid w:val="004D6117"/>
    <w:rsid w:val="004D639A"/>
    <w:rsid w:val="004D72DA"/>
    <w:rsid w:val="004D73A7"/>
    <w:rsid w:val="004D7657"/>
    <w:rsid w:val="004D776B"/>
    <w:rsid w:val="004E05E7"/>
    <w:rsid w:val="004E141E"/>
    <w:rsid w:val="004E1685"/>
    <w:rsid w:val="004E18D5"/>
    <w:rsid w:val="004E1B92"/>
    <w:rsid w:val="004E205B"/>
    <w:rsid w:val="004E356F"/>
    <w:rsid w:val="004E3880"/>
    <w:rsid w:val="004E3E15"/>
    <w:rsid w:val="004E4652"/>
    <w:rsid w:val="004E47D0"/>
    <w:rsid w:val="004E4904"/>
    <w:rsid w:val="004E5347"/>
    <w:rsid w:val="004E5A2B"/>
    <w:rsid w:val="004E5DF6"/>
    <w:rsid w:val="004E647F"/>
    <w:rsid w:val="004E6523"/>
    <w:rsid w:val="004E65E3"/>
    <w:rsid w:val="004E6812"/>
    <w:rsid w:val="004E7D32"/>
    <w:rsid w:val="004F0E08"/>
    <w:rsid w:val="004F11C0"/>
    <w:rsid w:val="004F1329"/>
    <w:rsid w:val="004F25AC"/>
    <w:rsid w:val="004F3219"/>
    <w:rsid w:val="004F354F"/>
    <w:rsid w:val="004F41C5"/>
    <w:rsid w:val="004F4871"/>
    <w:rsid w:val="004F4CE7"/>
    <w:rsid w:val="004F5012"/>
    <w:rsid w:val="004F5FD3"/>
    <w:rsid w:val="004F63DE"/>
    <w:rsid w:val="004F6A99"/>
    <w:rsid w:val="004F7427"/>
    <w:rsid w:val="004F7A9C"/>
    <w:rsid w:val="0050008C"/>
    <w:rsid w:val="00501330"/>
    <w:rsid w:val="00501623"/>
    <w:rsid w:val="0050170A"/>
    <w:rsid w:val="00501A54"/>
    <w:rsid w:val="00502418"/>
    <w:rsid w:val="005026B5"/>
    <w:rsid w:val="00502DB2"/>
    <w:rsid w:val="005033C7"/>
    <w:rsid w:val="005034CE"/>
    <w:rsid w:val="00503E11"/>
    <w:rsid w:val="00506157"/>
    <w:rsid w:val="005070DD"/>
    <w:rsid w:val="00507B02"/>
    <w:rsid w:val="0051050F"/>
    <w:rsid w:val="00510AD0"/>
    <w:rsid w:val="00511599"/>
    <w:rsid w:val="00511ACA"/>
    <w:rsid w:val="00511C29"/>
    <w:rsid w:val="00511F14"/>
    <w:rsid w:val="00512365"/>
    <w:rsid w:val="005127D2"/>
    <w:rsid w:val="0051289C"/>
    <w:rsid w:val="00512BEA"/>
    <w:rsid w:val="005132E2"/>
    <w:rsid w:val="00513B97"/>
    <w:rsid w:val="00513CE2"/>
    <w:rsid w:val="0051531F"/>
    <w:rsid w:val="005155C6"/>
    <w:rsid w:val="00515D36"/>
    <w:rsid w:val="00517132"/>
    <w:rsid w:val="00520256"/>
    <w:rsid w:val="00520436"/>
    <w:rsid w:val="00521645"/>
    <w:rsid w:val="00521DBD"/>
    <w:rsid w:val="00521E6E"/>
    <w:rsid w:val="00521FCB"/>
    <w:rsid w:val="00522AEE"/>
    <w:rsid w:val="00522B3B"/>
    <w:rsid w:val="00522D99"/>
    <w:rsid w:val="005234C8"/>
    <w:rsid w:val="0052358C"/>
    <w:rsid w:val="00524B79"/>
    <w:rsid w:val="00524D7D"/>
    <w:rsid w:val="00524E93"/>
    <w:rsid w:val="0052589B"/>
    <w:rsid w:val="00526619"/>
    <w:rsid w:val="00526A98"/>
    <w:rsid w:val="0052785B"/>
    <w:rsid w:val="0052787D"/>
    <w:rsid w:val="00527913"/>
    <w:rsid w:val="005306DC"/>
    <w:rsid w:val="00530B2B"/>
    <w:rsid w:val="005328C3"/>
    <w:rsid w:val="0053297A"/>
    <w:rsid w:val="00532A33"/>
    <w:rsid w:val="0053335E"/>
    <w:rsid w:val="005336D5"/>
    <w:rsid w:val="005341CE"/>
    <w:rsid w:val="005342AC"/>
    <w:rsid w:val="005342F3"/>
    <w:rsid w:val="005344F4"/>
    <w:rsid w:val="00534840"/>
    <w:rsid w:val="00535017"/>
    <w:rsid w:val="00535F27"/>
    <w:rsid w:val="005374EE"/>
    <w:rsid w:val="005377CB"/>
    <w:rsid w:val="00537899"/>
    <w:rsid w:val="00537A4D"/>
    <w:rsid w:val="00540594"/>
    <w:rsid w:val="00540676"/>
    <w:rsid w:val="005408C7"/>
    <w:rsid w:val="00540F1F"/>
    <w:rsid w:val="0054111A"/>
    <w:rsid w:val="005417B1"/>
    <w:rsid w:val="005430B9"/>
    <w:rsid w:val="00543240"/>
    <w:rsid w:val="0054352F"/>
    <w:rsid w:val="0054357D"/>
    <w:rsid w:val="00543D57"/>
    <w:rsid w:val="0054428B"/>
    <w:rsid w:val="00544631"/>
    <w:rsid w:val="005449D6"/>
    <w:rsid w:val="005479D9"/>
    <w:rsid w:val="00550050"/>
    <w:rsid w:val="005504F1"/>
    <w:rsid w:val="00550930"/>
    <w:rsid w:val="005519A3"/>
    <w:rsid w:val="0055205C"/>
    <w:rsid w:val="0055319F"/>
    <w:rsid w:val="00553566"/>
    <w:rsid w:val="00553BAD"/>
    <w:rsid w:val="00554216"/>
    <w:rsid w:val="005543F1"/>
    <w:rsid w:val="005546B2"/>
    <w:rsid w:val="005548A2"/>
    <w:rsid w:val="00554CDF"/>
    <w:rsid w:val="005557A3"/>
    <w:rsid w:val="00555E45"/>
    <w:rsid w:val="005565EE"/>
    <w:rsid w:val="00556AC5"/>
    <w:rsid w:val="005570B2"/>
    <w:rsid w:val="00557485"/>
    <w:rsid w:val="0055753F"/>
    <w:rsid w:val="00557C4D"/>
    <w:rsid w:val="00560689"/>
    <w:rsid w:val="005618A2"/>
    <w:rsid w:val="00561D75"/>
    <w:rsid w:val="00561D7C"/>
    <w:rsid w:val="00562A32"/>
    <w:rsid w:val="0056324A"/>
    <w:rsid w:val="00563930"/>
    <w:rsid w:val="00563E51"/>
    <w:rsid w:val="00563EE0"/>
    <w:rsid w:val="00563F87"/>
    <w:rsid w:val="005640B1"/>
    <w:rsid w:val="005643B1"/>
    <w:rsid w:val="005653BA"/>
    <w:rsid w:val="005668DF"/>
    <w:rsid w:val="005675BF"/>
    <w:rsid w:val="00567B5D"/>
    <w:rsid w:val="00567D92"/>
    <w:rsid w:val="00567ECB"/>
    <w:rsid w:val="00570217"/>
    <w:rsid w:val="005705AE"/>
    <w:rsid w:val="005705FA"/>
    <w:rsid w:val="00570D91"/>
    <w:rsid w:val="00570DA1"/>
    <w:rsid w:val="00570F01"/>
    <w:rsid w:val="005711DD"/>
    <w:rsid w:val="00572524"/>
    <w:rsid w:val="0057394A"/>
    <w:rsid w:val="00573BBE"/>
    <w:rsid w:val="0057434C"/>
    <w:rsid w:val="00574561"/>
    <w:rsid w:val="00574A13"/>
    <w:rsid w:val="00574B29"/>
    <w:rsid w:val="0057502E"/>
    <w:rsid w:val="00575519"/>
    <w:rsid w:val="0057594D"/>
    <w:rsid w:val="0057753B"/>
    <w:rsid w:val="00577721"/>
    <w:rsid w:val="005809D5"/>
    <w:rsid w:val="00581712"/>
    <w:rsid w:val="005817A5"/>
    <w:rsid w:val="00581B48"/>
    <w:rsid w:val="0058243F"/>
    <w:rsid w:val="00582B53"/>
    <w:rsid w:val="00582DF2"/>
    <w:rsid w:val="00583573"/>
    <w:rsid w:val="00584864"/>
    <w:rsid w:val="00584CA6"/>
    <w:rsid w:val="005852B0"/>
    <w:rsid w:val="005858CD"/>
    <w:rsid w:val="0058595A"/>
    <w:rsid w:val="00586D73"/>
    <w:rsid w:val="00587048"/>
    <w:rsid w:val="0059164E"/>
    <w:rsid w:val="0059222E"/>
    <w:rsid w:val="00592315"/>
    <w:rsid w:val="005925C5"/>
    <w:rsid w:val="00592727"/>
    <w:rsid w:val="00594150"/>
    <w:rsid w:val="0059431E"/>
    <w:rsid w:val="00594375"/>
    <w:rsid w:val="00594DE6"/>
    <w:rsid w:val="005950B2"/>
    <w:rsid w:val="00595320"/>
    <w:rsid w:val="00595AC9"/>
    <w:rsid w:val="00596321"/>
    <w:rsid w:val="0059661B"/>
    <w:rsid w:val="0059672E"/>
    <w:rsid w:val="00597A23"/>
    <w:rsid w:val="00597F0E"/>
    <w:rsid w:val="00597F2A"/>
    <w:rsid w:val="005A11A2"/>
    <w:rsid w:val="005A18C9"/>
    <w:rsid w:val="005A1DC7"/>
    <w:rsid w:val="005A2018"/>
    <w:rsid w:val="005A22A6"/>
    <w:rsid w:val="005A24E5"/>
    <w:rsid w:val="005A2663"/>
    <w:rsid w:val="005A2927"/>
    <w:rsid w:val="005A2A54"/>
    <w:rsid w:val="005A2D81"/>
    <w:rsid w:val="005A2E47"/>
    <w:rsid w:val="005A3112"/>
    <w:rsid w:val="005A332A"/>
    <w:rsid w:val="005A339B"/>
    <w:rsid w:val="005A33CA"/>
    <w:rsid w:val="005A3B26"/>
    <w:rsid w:val="005A3D5A"/>
    <w:rsid w:val="005A44B6"/>
    <w:rsid w:val="005A46C8"/>
    <w:rsid w:val="005A5E06"/>
    <w:rsid w:val="005A6455"/>
    <w:rsid w:val="005A6704"/>
    <w:rsid w:val="005A7440"/>
    <w:rsid w:val="005A7DAC"/>
    <w:rsid w:val="005A7FFA"/>
    <w:rsid w:val="005B032C"/>
    <w:rsid w:val="005B0603"/>
    <w:rsid w:val="005B16B3"/>
    <w:rsid w:val="005B1E6D"/>
    <w:rsid w:val="005B1FDC"/>
    <w:rsid w:val="005B2835"/>
    <w:rsid w:val="005B2E97"/>
    <w:rsid w:val="005B2FC4"/>
    <w:rsid w:val="005B385C"/>
    <w:rsid w:val="005B4BD2"/>
    <w:rsid w:val="005B5374"/>
    <w:rsid w:val="005B6417"/>
    <w:rsid w:val="005B6946"/>
    <w:rsid w:val="005B7135"/>
    <w:rsid w:val="005B7398"/>
    <w:rsid w:val="005B7C89"/>
    <w:rsid w:val="005C018B"/>
    <w:rsid w:val="005C02EF"/>
    <w:rsid w:val="005C125A"/>
    <w:rsid w:val="005C154A"/>
    <w:rsid w:val="005C1B21"/>
    <w:rsid w:val="005C1CD2"/>
    <w:rsid w:val="005C2FA2"/>
    <w:rsid w:val="005C3892"/>
    <w:rsid w:val="005C3A23"/>
    <w:rsid w:val="005C3E82"/>
    <w:rsid w:val="005C4929"/>
    <w:rsid w:val="005C56AA"/>
    <w:rsid w:val="005C5E18"/>
    <w:rsid w:val="005C5EBD"/>
    <w:rsid w:val="005C64FA"/>
    <w:rsid w:val="005C7121"/>
    <w:rsid w:val="005C759A"/>
    <w:rsid w:val="005C7EEF"/>
    <w:rsid w:val="005D0468"/>
    <w:rsid w:val="005D0587"/>
    <w:rsid w:val="005D0F50"/>
    <w:rsid w:val="005D154D"/>
    <w:rsid w:val="005D17B4"/>
    <w:rsid w:val="005D1A22"/>
    <w:rsid w:val="005D1A3F"/>
    <w:rsid w:val="005D2317"/>
    <w:rsid w:val="005D29F3"/>
    <w:rsid w:val="005D2CF2"/>
    <w:rsid w:val="005D2FF4"/>
    <w:rsid w:val="005D33B6"/>
    <w:rsid w:val="005D4663"/>
    <w:rsid w:val="005D49D1"/>
    <w:rsid w:val="005D537E"/>
    <w:rsid w:val="005D5441"/>
    <w:rsid w:val="005D598A"/>
    <w:rsid w:val="005D5B26"/>
    <w:rsid w:val="005D6BE1"/>
    <w:rsid w:val="005D6DD4"/>
    <w:rsid w:val="005D70D0"/>
    <w:rsid w:val="005D7688"/>
    <w:rsid w:val="005D78B6"/>
    <w:rsid w:val="005D790B"/>
    <w:rsid w:val="005D7CB5"/>
    <w:rsid w:val="005E1085"/>
    <w:rsid w:val="005E11AA"/>
    <w:rsid w:val="005E1C75"/>
    <w:rsid w:val="005E2002"/>
    <w:rsid w:val="005E21AA"/>
    <w:rsid w:val="005E26EB"/>
    <w:rsid w:val="005E360F"/>
    <w:rsid w:val="005E4651"/>
    <w:rsid w:val="005E4896"/>
    <w:rsid w:val="005E48B1"/>
    <w:rsid w:val="005E4B37"/>
    <w:rsid w:val="005E4FE6"/>
    <w:rsid w:val="005E54A3"/>
    <w:rsid w:val="005E6500"/>
    <w:rsid w:val="005E65D1"/>
    <w:rsid w:val="005E672B"/>
    <w:rsid w:val="005E6C80"/>
    <w:rsid w:val="005E7A2F"/>
    <w:rsid w:val="005E7ACA"/>
    <w:rsid w:val="005F0761"/>
    <w:rsid w:val="005F0B0D"/>
    <w:rsid w:val="005F1520"/>
    <w:rsid w:val="005F1622"/>
    <w:rsid w:val="005F26B0"/>
    <w:rsid w:val="005F289E"/>
    <w:rsid w:val="005F29B4"/>
    <w:rsid w:val="005F2F4A"/>
    <w:rsid w:val="005F306A"/>
    <w:rsid w:val="005F3458"/>
    <w:rsid w:val="005F3664"/>
    <w:rsid w:val="005F3718"/>
    <w:rsid w:val="005F3B19"/>
    <w:rsid w:val="005F4575"/>
    <w:rsid w:val="005F48B0"/>
    <w:rsid w:val="005F4C37"/>
    <w:rsid w:val="005F4D1F"/>
    <w:rsid w:val="005F50C9"/>
    <w:rsid w:val="005F5B87"/>
    <w:rsid w:val="005F5BAB"/>
    <w:rsid w:val="005F5C9E"/>
    <w:rsid w:val="005F6039"/>
    <w:rsid w:val="005F7181"/>
    <w:rsid w:val="005F73D8"/>
    <w:rsid w:val="005F7B68"/>
    <w:rsid w:val="0060016A"/>
    <w:rsid w:val="00600A98"/>
    <w:rsid w:val="00601673"/>
    <w:rsid w:val="00602375"/>
    <w:rsid w:val="006025B2"/>
    <w:rsid w:val="006029AF"/>
    <w:rsid w:val="00603AFE"/>
    <w:rsid w:val="00603F41"/>
    <w:rsid w:val="00604156"/>
    <w:rsid w:val="006041C4"/>
    <w:rsid w:val="006042E1"/>
    <w:rsid w:val="00605D53"/>
    <w:rsid w:val="00606DDC"/>
    <w:rsid w:val="00606E65"/>
    <w:rsid w:val="0060795B"/>
    <w:rsid w:val="00607AB6"/>
    <w:rsid w:val="00607B64"/>
    <w:rsid w:val="00610907"/>
    <w:rsid w:val="00610B47"/>
    <w:rsid w:val="00610BE3"/>
    <w:rsid w:val="00610D38"/>
    <w:rsid w:val="00610E2E"/>
    <w:rsid w:val="00611185"/>
    <w:rsid w:val="0061128B"/>
    <w:rsid w:val="00611BB8"/>
    <w:rsid w:val="00612199"/>
    <w:rsid w:val="006122D3"/>
    <w:rsid w:val="00612BB9"/>
    <w:rsid w:val="00612DDF"/>
    <w:rsid w:val="00613762"/>
    <w:rsid w:val="00613D0C"/>
    <w:rsid w:val="00614180"/>
    <w:rsid w:val="0061420E"/>
    <w:rsid w:val="00614722"/>
    <w:rsid w:val="006151C5"/>
    <w:rsid w:val="00615971"/>
    <w:rsid w:val="0061607A"/>
    <w:rsid w:val="00616358"/>
    <w:rsid w:val="00616633"/>
    <w:rsid w:val="00616D63"/>
    <w:rsid w:val="0062070A"/>
    <w:rsid w:val="0062073D"/>
    <w:rsid w:val="00620A7D"/>
    <w:rsid w:val="00620C6D"/>
    <w:rsid w:val="00621310"/>
    <w:rsid w:val="00621962"/>
    <w:rsid w:val="00622798"/>
    <w:rsid w:val="00622953"/>
    <w:rsid w:val="00622D40"/>
    <w:rsid w:val="006240C8"/>
    <w:rsid w:val="006247E4"/>
    <w:rsid w:val="006250D7"/>
    <w:rsid w:val="00625885"/>
    <w:rsid w:val="00625CA5"/>
    <w:rsid w:val="00625EEF"/>
    <w:rsid w:val="006264F5"/>
    <w:rsid w:val="00626701"/>
    <w:rsid w:val="006274B4"/>
    <w:rsid w:val="0062774F"/>
    <w:rsid w:val="006300B5"/>
    <w:rsid w:val="00630450"/>
    <w:rsid w:val="0063098B"/>
    <w:rsid w:val="00631951"/>
    <w:rsid w:val="006327E7"/>
    <w:rsid w:val="00632E68"/>
    <w:rsid w:val="0063376A"/>
    <w:rsid w:val="00633FDD"/>
    <w:rsid w:val="00634064"/>
    <w:rsid w:val="006344FB"/>
    <w:rsid w:val="00635E85"/>
    <w:rsid w:val="00636157"/>
    <w:rsid w:val="00637046"/>
    <w:rsid w:val="006370A7"/>
    <w:rsid w:val="00637D26"/>
    <w:rsid w:val="00640565"/>
    <w:rsid w:val="00640D6F"/>
    <w:rsid w:val="00640F11"/>
    <w:rsid w:val="006416A6"/>
    <w:rsid w:val="006416E5"/>
    <w:rsid w:val="00641837"/>
    <w:rsid w:val="006421F9"/>
    <w:rsid w:val="00642ECF"/>
    <w:rsid w:val="006444CF"/>
    <w:rsid w:val="0064451F"/>
    <w:rsid w:val="00644635"/>
    <w:rsid w:val="0064505B"/>
    <w:rsid w:val="006450E1"/>
    <w:rsid w:val="00645ECB"/>
    <w:rsid w:val="00645EDC"/>
    <w:rsid w:val="00646550"/>
    <w:rsid w:val="00646701"/>
    <w:rsid w:val="0064690F"/>
    <w:rsid w:val="00646D5A"/>
    <w:rsid w:val="006471FA"/>
    <w:rsid w:val="00647266"/>
    <w:rsid w:val="006476EA"/>
    <w:rsid w:val="00647DD1"/>
    <w:rsid w:val="00650C8B"/>
    <w:rsid w:val="0065144A"/>
    <w:rsid w:val="006514BF"/>
    <w:rsid w:val="00652509"/>
    <w:rsid w:val="006526E8"/>
    <w:rsid w:val="00652842"/>
    <w:rsid w:val="00653806"/>
    <w:rsid w:val="0065403C"/>
    <w:rsid w:val="006546B3"/>
    <w:rsid w:val="0065487D"/>
    <w:rsid w:val="00655268"/>
    <w:rsid w:val="00655309"/>
    <w:rsid w:val="00655BF3"/>
    <w:rsid w:val="00656091"/>
    <w:rsid w:val="0065615C"/>
    <w:rsid w:val="0065626B"/>
    <w:rsid w:val="00656577"/>
    <w:rsid w:val="00656667"/>
    <w:rsid w:val="0065696B"/>
    <w:rsid w:val="006570A4"/>
    <w:rsid w:val="00657198"/>
    <w:rsid w:val="00657502"/>
    <w:rsid w:val="0065772E"/>
    <w:rsid w:val="006579F4"/>
    <w:rsid w:val="00657AD9"/>
    <w:rsid w:val="00657D03"/>
    <w:rsid w:val="00661006"/>
    <w:rsid w:val="00661570"/>
    <w:rsid w:val="0066165C"/>
    <w:rsid w:val="0066181D"/>
    <w:rsid w:val="00661C82"/>
    <w:rsid w:val="00662038"/>
    <w:rsid w:val="00662B19"/>
    <w:rsid w:val="00662F05"/>
    <w:rsid w:val="00663AFC"/>
    <w:rsid w:val="0066408D"/>
    <w:rsid w:val="0066416C"/>
    <w:rsid w:val="00664B3C"/>
    <w:rsid w:val="00664BBE"/>
    <w:rsid w:val="006653D0"/>
    <w:rsid w:val="006657CA"/>
    <w:rsid w:val="00665C7D"/>
    <w:rsid w:val="00666308"/>
    <w:rsid w:val="00666822"/>
    <w:rsid w:val="006672C9"/>
    <w:rsid w:val="006675D6"/>
    <w:rsid w:val="00667A16"/>
    <w:rsid w:val="00667AC8"/>
    <w:rsid w:val="00667B77"/>
    <w:rsid w:val="00667F9D"/>
    <w:rsid w:val="0067031C"/>
    <w:rsid w:val="00670DBB"/>
    <w:rsid w:val="00671250"/>
    <w:rsid w:val="006722AA"/>
    <w:rsid w:val="00673C60"/>
    <w:rsid w:val="00674475"/>
    <w:rsid w:val="0067489C"/>
    <w:rsid w:val="00675361"/>
    <w:rsid w:val="0067544B"/>
    <w:rsid w:val="00675975"/>
    <w:rsid w:val="00675E68"/>
    <w:rsid w:val="006764DD"/>
    <w:rsid w:val="00676591"/>
    <w:rsid w:val="00677893"/>
    <w:rsid w:val="00677C1B"/>
    <w:rsid w:val="00677C68"/>
    <w:rsid w:val="006808E4"/>
    <w:rsid w:val="00680FAB"/>
    <w:rsid w:val="00681682"/>
    <w:rsid w:val="00681EDA"/>
    <w:rsid w:val="00682004"/>
    <w:rsid w:val="00683164"/>
    <w:rsid w:val="00683686"/>
    <w:rsid w:val="006843D5"/>
    <w:rsid w:val="00684810"/>
    <w:rsid w:val="006849E9"/>
    <w:rsid w:val="00686552"/>
    <w:rsid w:val="00686DFE"/>
    <w:rsid w:val="0068711F"/>
    <w:rsid w:val="0068748B"/>
    <w:rsid w:val="00687B34"/>
    <w:rsid w:val="00687F76"/>
    <w:rsid w:val="00687F7A"/>
    <w:rsid w:val="00690C39"/>
    <w:rsid w:val="0069128C"/>
    <w:rsid w:val="00691841"/>
    <w:rsid w:val="00691BAA"/>
    <w:rsid w:val="0069236B"/>
    <w:rsid w:val="0069245E"/>
    <w:rsid w:val="00693230"/>
    <w:rsid w:val="00693E51"/>
    <w:rsid w:val="00694517"/>
    <w:rsid w:val="0069491C"/>
    <w:rsid w:val="00695DE1"/>
    <w:rsid w:val="006962CF"/>
    <w:rsid w:val="006967FF"/>
    <w:rsid w:val="00696DF2"/>
    <w:rsid w:val="00697034"/>
    <w:rsid w:val="00697863"/>
    <w:rsid w:val="00697A57"/>
    <w:rsid w:val="00697D6C"/>
    <w:rsid w:val="006A0171"/>
    <w:rsid w:val="006A05D8"/>
    <w:rsid w:val="006A0E1A"/>
    <w:rsid w:val="006A1C73"/>
    <w:rsid w:val="006A1D5D"/>
    <w:rsid w:val="006A1D86"/>
    <w:rsid w:val="006A1D92"/>
    <w:rsid w:val="006A1EF4"/>
    <w:rsid w:val="006A20D2"/>
    <w:rsid w:val="006A212F"/>
    <w:rsid w:val="006A25FA"/>
    <w:rsid w:val="006A2634"/>
    <w:rsid w:val="006A338F"/>
    <w:rsid w:val="006A371F"/>
    <w:rsid w:val="006A3DD2"/>
    <w:rsid w:val="006A428C"/>
    <w:rsid w:val="006A47BA"/>
    <w:rsid w:val="006A50B0"/>
    <w:rsid w:val="006A525E"/>
    <w:rsid w:val="006A5E4E"/>
    <w:rsid w:val="006A641C"/>
    <w:rsid w:val="006A6D38"/>
    <w:rsid w:val="006A75EE"/>
    <w:rsid w:val="006B06B8"/>
    <w:rsid w:val="006B08FC"/>
    <w:rsid w:val="006B0D7D"/>
    <w:rsid w:val="006B1057"/>
    <w:rsid w:val="006B1079"/>
    <w:rsid w:val="006B1EE8"/>
    <w:rsid w:val="006B2405"/>
    <w:rsid w:val="006B289A"/>
    <w:rsid w:val="006B3230"/>
    <w:rsid w:val="006B356A"/>
    <w:rsid w:val="006B3776"/>
    <w:rsid w:val="006B401C"/>
    <w:rsid w:val="006B4DEB"/>
    <w:rsid w:val="006B5551"/>
    <w:rsid w:val="006B556A"/>
    <w:rsid w:val="006B5AD9"/>
    <w:rsid w:val="006B6C8B"/>
    <w:rsid w:val="006B7459"/>
    <w:rsid w:val="006C0379"/>
    <w:rsid w:val="006C0CDD"/>
    <w:rsid w:val="006C101E"/>
    <w:rsid w:val="006C158F"/>
    <w:rsid w:val="006C1C75"/>
    <w:rsid w:val="006C26DA"/>
    <w:rsid w:val="006C2F0C"/>
    <w:rsid w:val="006C3CF0"/>
    <w:rsid w:val="006C3FBD"/>
    <w:rsid w:val="006C4025"/>
    <w:rsid w:val="006C4B7A"/>
    <w:rsid w:val="006C5917"/>
    <w:rsid w:val="006C6C0A"/>
    <w:rsid w:val="006C70A7"/>
    <w:rsid w:val="006C72DF"/>
    <w:rsid w:val="006C732D"/>
    <w:rsid w:val="006D011F"/>
    <w:rsid w:val="006D01EC"/>
    <w:rsid w:val="006D04FC"/>
    <w:rsid w:val="006D0CEA"/>
    <w:rsid w:val="006D1796"/>
    <w:rsid w:val="006D194A"/>
    <w:rsid w:val="006D1BBF"/>
    <w:rsid w:val="006D1D99"/>
    <w:rsid w:val="006D22AD"/>
    <w:rsid w:val="006D2419"/>
    <w:rsid w:val="006D2F69"/>
    <w:rsid w:val="006D3356"/>
    <w:rsid w:val="006D3389"/>
    <w:rsid w:val="006D36B0"/>
    <w:rsid w:val="006D3BB4"/>
    <w:rsid w:val="006D3F89"/>
    <w:rsid w:val="006D450C"/>
    <w:rsid w:val="006D4670"/>
    <w:rsid w:val="006D4DEB"/>
    <w:rsid w:val="006D4E5F"/>
    <w:rsid w:val="006D4EFC"/>
    <w:rsid w:val="006D5567"/>
    <w:rsid w:val="006D5E0B"/>
    <w:rsid w:val="006D5F8A"/>
    <w:rsid w:val="006D60D9"/>
    <w:rsid w:val="006D6CE6"/>
    <w:rsid w:val="006D6D40"/>
    <w:rsid w:val="006D6EE5"/>
    <w:rsid w:val="006E0D9F"/>
    <w:rsid w:val="006E15F4"/>
    <w:rsid w:val="006E1683"/>
    <w:rsid w:val="006E1E7A"/>
    <w:rsid w:val="006E25C3"/>
    <w:rsid w:val="006E2B62"/>
    <w:rsid w:val="006E2CDD"/>
    <w:rsid w:val="006E37BE"/>
    <w:rsid w:val="006E37EA"/>
    <w:rsid w:val="006E3976"/>
    <w:rsid w:val="006E4002"/>
    <w:rsid w:val="006E483F"/>
    <w:rsid w:val="006E50A6"/>
    <w:rsid w:val="006E5BF9"/>
    <w:rsid w:val="006E66CD"/>
    <w:rsid w:val="006E6FC0"/>
    <w:rsid w:val="006E72B1"/>
    <w:rsid w:val="006E739B"/>
    <w:rsid w:val="006E75A9"/>
    <w:rsid w:val="006E7947"/>
    <w:rsid w:val="006E79FA"/>
    <w:rsid w:val="006E7DFE"/>
    <w:rsid w:val="006F002D"/>
    <w:rsid w:val="006F047B"/>
    <w:rsid w:val="006F04EB"/>
    <w:rsid w:val="006F0837"/>
    <w:rsid w:val="006F3906"/>
    <w:rsid w:val="006F3C9E"/>
    <w:rsid w:val="006F3F3A"/>
    <w:rsid w:val="006F439B"/>
    <w:rsid w:val="006F504F"/>
    <w:rsid w:val="006F5471"/>
    <w:rsid w:val="006F58E7"/>
    <w:rsid w:val="006F5D05"/>
    <w:rsid w:val="006F5EBC"/>
    <w:rsid w:val="006F5F70"/>
    <w:rsid w:val="006F66EF"/>
    <w:rsid w:val="006F7909"/>
    <w:rsid w:val="00700600"/>
    <w:rsid w:val="0070095F"/>
    <w:rsid w:val="00700FE7"/>
    <w:rsid w:val="00701784"/>
    <w:rsid w:val="007017BB"/>
    <w:rsid w:val="00701DAA"/>
    <w:rsid w:val="00702113"/>
    <w:rsid w:val="007023FE"/>
    <w:rsid w:val="00702482"/>
    <w:rsid w:val="007033AA"/>
    <w:rsid w:val="00703E60"/>
    <w:rsid w:val="00704532"/>
    <w:rsid w:val="00704563"/>
    <w:rsid w:val="007046CD"/>
    <w:rsid w:val="00704C84"/>
    <w:rsid w:val="00704CF5"/>
    <w:rsid w:val="00704FFB"/>
    <w:rsid w:val="00705389"/>
    <w:rsid w:val="007055A7"/>
    <w:rsid w:val="00705FB5"/>
    <w:rsid w:val="00706137"/>
    <w:rsid w:val="00706221"/>
    <w:rsid w:val="00706DB2"/>
    <w:rsid w:val="00706EE1"/>
    <w:rsid w:val="00707C4C"/>
    <w:rsid w:val="00710079"/>
    <w:rsid w:val="0071057E"/>
    <w:rsid w:val="00711BBE"/>
    <w:rsid w:val="00711C47"/>
    <w:rsid w:val="0071214A"/>
    <w:rsid w:val="00712CDD"/>
    <w:rsid w:val="00712E03"/>
    <w:rsid w:val="007134B9"/>
    <w:rsid w:val="007136BE"/>
    <w:rsid w:val="00713CF7"/>
    <w:rsid w:val="0071450C"/>
    <w:rsid w:val="00714827"/>
    <w:rsid w:val="0071486D"/>
    <w:rsid w:val="00715A7E"/>
    <w:rsid w:val="00715CD8"/>
    <w:rsid w:val="0071606E"/>
    <w:rsid w:val="007162BE"/>
    <w:rsid w:val="007165B0"/>
    <w:rsid w:val="0071668E"/>
    <w:rsid w:val="0071683A"/>
    <w:rsid w:val="00716FA2"/>
    <w:rsid w:val="007171FF"/>
    <w:rsid w:val="00717BF8"/>
    <w:rsid w:val="00720073"/>
    <w:rsid w:val="007212EB"/>
    <w:rsid w:val="00721420"/>
    <w:rsid w:val="0072186F"/>
    <w:rsid w:val="00721D03"/>
    <w:rsid w:val="007225FD"/>
    <w:rsid w:val="007227A0"/>
    <w:rsid w:val="007255BA"/>
    <w:rsid w:val="00725696"/>
    <w:rsid w:val="00725946"/>
    <w:rsid w:val="0072619C"/>
    <w:rsid w:val="0072717C"/>
    <w:rsid w:val="00727D00"/>
    <w:rsid w:val="00727DBA"/>
    <w:rsid w:val="00727F6E"/>
    <w:rsid w:val="00730DB6"/>
    <w:rsid w:val="0073139A"/>
    <w:rsid w:val="007318BB"/>
    <w:rsid w:val="00733A06"/>
    <w:rsid w:val="00734026"/>
    <w:rsid w:val="0073443E"/>
    <w:rsid w:val="007348A8"/>
    <w:rsid w:val="00734B7D"/>
    <w:rsid w:val="00735228"/>
    <w:rsid w:val="00735291"/>
    <w:rsid w:val="00735520"/>
    <w:rsid w:val="0073554B"/>
    <w:rsid w:val="00735780"/>
    <w:rsid w:val="00737774"/>
    <w:rsid w:val="00737A51"/>
    <w:rsid w:val="0074014B"/>
    <w:rsid w:val="00740D69"/>
    <w:rsid w:val="00741257"/>
    <w:rsid w:val="00742199"/>
    <w:rsid w:val="00742969"/>
    <w:rsid w:val="00743104"/>
    <w:rsid w:val="007437BF"/>
    <w:rsid w:val="007439A8"/>
    <w:rsid w:val="00745038"/>
    <w:rsid w:val="007451B2"/>
    <w:rsid w:val="00745244"/>
    <w:rsid w:val="0074563E"/>
    <w:rsid w:val="00745CAE"/>
    <w:rsid w:val="007468F4"/>
    <w:rsid w:val="00747731"/>
    <w:rsid w:val="00747E29"/>
    <w:rsid w:val="007504C2"/>
    <w:rsid w:val="00750AA9"/>
    <w:rsid w:val="00750AC1"/>
    <w:rsid w:val="00751488"/>
    <w:rsid w:val="0075261A"/>
    <w:rsid w:val="00752B54"/>
    <w:rsid w:val="0075305E"/>
    <w:rsid w:val="007530D6"/>
    <w:rsid w:val="0075312F"/>
    <w:rsid w:val="007532D0"/>
    <w:rsid w:val="0075337E"/>
    <w:rsid w:val="007535FC"/>
    <w:rsid w:val="007536AB"/>
    <w:rsid w:val="00753827"/>
    <w:rsid w:val="007538A0"/>
    <w:rsid w:val="00754116"/>
    <w:rsid w:val="00754D6D"/>
    <w:rsid w:val="007558EE"/>
    <w:rsid w:val="00755FE1"/>
    <w:rsid w:val="0075668C"/>
    <w:rsid w:val="00756B09"/>
    <w:rsid w:val="00757402"/>
    <w:rsid w:val="00757B11"/>
    <w:rsid w:val="00760063"/>
    <w:rsid w:val="0076073F"/>
    <w:rsid w:val="00760880"/>
    <w:rsid w:val="0076091E"/>
    <w:rsid w:val="0076094D"/>
    <w:rsid w:val="0076095B"/>
    <w:rsid w:val="00760AA7"/>
    <w:rsid w:val="00762D29"/>
    <w:rsid w:val="00762E07"/>
    <w:rsid w:val="00763228"/>
    <w:rsid w:val="007637E2"/>
    <w:rsid w:val="00764E07"/>
    <w:rsid w:val="00764E0D"/>
    <w:rsid w:val="00765201"/>
    <w:rsid w:val="00765788"/>
    <w:rsid w:val="007661F7"/>
    <w:rsid w:val="00766C36"/>
    <w:rsid w:val="00767327"/>
    <w:rsid w:val="00767740"/>
    <w:rsid w:val="0077014C"/>
    <w:rsid w:val="00770C92"/>
    <w:rsid w:val="00770CD9"/>
    <w:rsid w:val="00770F0E"/>
    <w:rsid w:val="007714DC"/>
    <w:rsid w:val="007715F3"/>
    <w:rsid w:val="00771845"/>
    <w:rsid w:val="00772449"/>
    <w:rsid w:val="00772BB0"/>
    <w:rsid w:val="00772CB3"/>
    <w:rsid w:val="00772CCE"/>
    <w:rsid w:val="00774438"/>
    <w:rsid w:val="00774F06"/>
    <w:rsid w:val="007751F5"/>
    <w:rsid w:val="0077573F"/>
    <w:rsid w:val="00775CF3"/>
    <w:rsid w:val="0077651C"/>
    <w:rsid w:val="007766CC"/>
    <w:rsid w:val="0077748A"/>
    <w:rsid w:val="00777C17"/>
    <w:rsid w:val="00777EC6"/>
    <w:rsid w:val="007800E4"/>
    <w:rsid w:val="007815BA"/>
    <w:rsid w:val="007825F1"/>
    <w:rsid w:val="007834DC"/>
    <w:rsid w:val="00783748"/>
    <w:rsid w:val="00783FC2"/>
    <w:rsid w:val="00784132"/>
    <w:rsid w:val="007847BB"/>
    <w:rsid w:val="007850FA"/>
    <w:rsid w:val="00785D66"/>
    <w:rsid w:val="00786087"/>
    <w:rsid w:val="00786701"/>
    <w:rsid w:val="00786EF1"/>
    <w:rsid w:val="007870FA"/>
    <w:rsid w:val="007874C6"/>
    <w:rsid w:val="00790444"/>
    <w:rsid w:val="00790489"/>
    <w:rsid w:val="00790536"/>
    <w:rsid w:val="00790626"/>
    <w:rsid w:val="0079079A"/>
    <w:rsid w:val="00790E05"/>
    <w:rsid w:val="00792E1F"/>
    <w:rsid w:val="00794CFF"/>
    <w:rsid w:val="007956EB"/>
    <w:rsid w:val="007978CE"/>
    <w:rsid w:val="00797F72"/>
    <w:rsid w:val="007A065B"/>
    <w:rsid w:val="007A0779"/>
    <w:rsid w:val="007A0E29"/>
    <w:rsid w:val="007A1DC8"/>
    <w:rsid w:val="007A2768"/>
    <w:rsid w:val="007A2AB0"/>
    <w:rsid w:val="007A2CEB"/>
    <w:rsid w:val="007A318B"/>
    <w:rsid w:val="007A3F1D"/>
    <w:rsid w:val="007A436F"/>
    <w:rsid w:val="007A4680"/>
    <w:rsid w:val="007A47F4"/>
    <w:rsid w:val="007A4931"/>
    <w:rsid w:val="007A503B"/>
    <w:rsid w:val="007A50F9"/>
    <w:rsid w:val="007A5121"/>
    <w:rsid w:val="007A5419"/>
    <w:rsid w:val="007A58E6"/>
    <w:rsid w:val="007A5A9E"/>
    <w:rsid w:val="007A5DD7"/>
    <w:rsid w:val="007A5E48"/>
    <w:rsid w:val="007A6293"/>
    <w:rsid w:val="007A6A30"/>
    <w:rsid w:val="007A7244"/>
    <w:rsid w:val="007B02AF"/>
    <w:rsid w:val="007B0907"/>
    <w:rsid w:val="007B136C"/>
    <w:rsid w:val="007B15BE"/>
    <w:rsid w:val="007B16BC"/>
    <w:rsid w:val="007B1B99"/>
    <w:rsid w:val="007B1BE7"/>
    <w:rsid w:val="007B3529"/>
    <w:rsid w:val="007B387F"/>
    <w:rsid w:val="007B3C75"/>
    <w:rsid w:val="007B4163"/>
    <w:rsid w:val="007B565A"/>
    <w:rsid w:val="007B5B45"/>
    <w:rsid w:val="007B6811"/>
    <w:rsid w:val="007B6DF1"/>
    <w:rsid w:val="007C0315"/>
    <w:rsid w:val="007C0405"/>
    <w:rsid w:val="007C056E"/>
    <w:rsid w:val="007C1391"/>
    <w:rsid w:val="007C1646"/>
    <w:rsid w:val="007C16FC"/>
    <w:rsid w:val="007C1DF0"/>
    <w:rsid w:val="007C200F"/>
    <w:rsid w:val="007C20AD"/>
    <w:rsid w:val="007C281F"/>
    <w:rsid w:val="007C312A"/>
    <w:rsid w:val="007C40D5"/>
    <w:rsid w:val="007C4149"/>
    <w:rsid w:val="007C43A9"/>
    <w:rsid w:val="007C45B0"/>
    <w:rsid w:val="007C4D89"/>
    <w:rsid w:val="007C6583"/>
    <w:rsid w:val="007C7219"/>
    <w:rsid w:val="007C7713"/>
    <w:rsid w:val="007C7BB1"/>
    <w:rsid w:val="007D2005"/>
    <w:rsid w:val="007D230F"/>
    <w:rsid w:val="007D31EB"/>
    <w:rsid w:val="007D3EF2"/>
    <w:rsid w:val="007D3FC4"/>
    <w:rsid w:val="007D67FC"/>
    <w:rsid w:val="007D7208"/>
    <w:rsid w:val="007D743C"/>
    <w:rsid w:val="007D7AE8"/>
    <w:rsid w:val="007E00C3"/>
    <w:rsid w:val="007E04DC"/>
    <w:rsid w:val="007E07F1"/>
    <w:rsid w:val="007E084A"/>
    <w:rsid w:val="007E0C0F"/>
    <w:rsid w:val="007E0CBD"/>
    <w:rsid w:val="007E0DAF"/>
    <w:rsid w:val="007E1655"/>
    <w:rsid w:val="007E1DB3"/>
    <w:rsid w:val="007E1E85"/>
    <w:rsid w:val="007E25B6"/>
    <w:rsid w:val="007E28B0"/>
    <w:rsid w:val="007E2A56"/>
    <w:rsid w:val="007E2A68"/>
    <w:rsid w:val="007E2C07"/>
    <w:rsid w:val="007E3581"/>
    <w:rsid w:val="007E4A1E"/>
    <w:rsid w:val="007E5DB4"/>
    <w:rsid w:val="007E5FCF"/>
    <w:rsid w:val="007E6300"/>
    <w:rsid w:val="007E6BC9"/>
    <w:rsid w:val="007E7064"/>
    <w:rsid w:val="007E758A"/>
    <w:rsid w:val="007E7670"/>
    <w:rsid w:val="007E79D2"/>
    <w:rsid w:val="007E7A46"/>
    <w:rsid w:val="007E7B6C"/>
    <w:rsid w:val="007F0194"/>
    <w:rsid w:val="007F0225"/>
    <w:rsid w:val="007F0DB8"/>
    <w:rsid w:val="007F1210"/>
    <w:rsid w:val="007F1518"/>
    <w:rsid w:val="007F1B4A"/>
    <w:rsid w:val="007F1EEB"/>
    <w:rsid w:val="007F36BC"/>
    <w:rsid w:val="007F37EC"/>
    <w:rsid w:val="007F3982"/>
    <w:rsid w:val="007F3DFC"/>
    <w:rsid w:val="007F480E"/>
    <w:rsid w:val="007F584A"/>
    <w:rsid w:val="007F5F4F"/>
    <w:rsid w:val="007F6453"/>
    <w:rsid w:val="008003ED"/>
    <w:rsid w:val="00800AB6"/>
    <w:rsid w:val="00801144"/>
    <w:rsid w:val="008012E9"/>
    <w:rsid w:val="00801B02"/>
    <w:rsid w:val="00801B4A"/>
    <w:rsid w:val="00801CE6"/>
    <w:rsid w:val="00801DAA"/>
    <w:rsid w:val="00801E03"/>
    <w:rsid w:val="00802734"/>
    <w:rsid w:val="00803137"/>
    <w:rsid w:val="008033D3"/>
    <w:rsid w:val="0080348A"/>
    <w:rsid w:val="00804435"/>
    <w:rsid w:val="008048C6"/>
    <w:rsid w:val="00804CFD"/>
    <w:rsid w:val="00804FA6"/>
    <w:rsid w:val="008055DD"/>
    <w:rsid w:val="00805720"/>
    <w:rsid w:val="008076FF"/>
    <w:rsid w:val="008102B5"/>
    <w:rsid w:val="00810393"/>
    <w:rsid w:val="00810B2F"/>
    <w:rsid w:val="00810E8D"/>
    <w:rsid w:val="00811538"/>
    <w:rsid w:val="0081166A"/>
    <w:rsid w:val="00811A1B"/>
    <w:rsid w:val="00811F2F"/>
    <w:rsid w:val="00811FC5"/>
    <w:rsid w:val="00813193"/>
    <w:rsid w:val="008134EA"/>
    <w:rsid w:val="00814B93"/>
    <w:rsid w:val="00814BFF"/>
    <w:rsid w:val="00815099"/>
    <w:rsid w:val="00815EA9"/>
    <w:rsid w:val="00816051"/>
    <w:rsid w:val="00816070"/>
    <w:rsid w:val="00816216"/>
    <w:rsid w:val="00816250"/>
    <w:rsid w:val="008164C2"/>
    <w:rsid w:val="00816D1B"/>
    <w:rsid w:val="008178A8"/>
    <w:rsid w:val="00817A10"/>
    <w:rsid w:val="00817F20"/>
    <w:rsid w:val="00820416"/>
    <w:rsid w:val="008206EE"/>
    <w:rsid w:val="00820753"/>
    <w:rsid w:val="00820A53"/>
    <w:rsid w:val="00820D06"/>
    <w:rsid w:val="00821B73"/>
    <w:rsid w:val="00822378"/>
    <w:rsid w:val="00822471"/>
    <w:rsid w:val="00822F43"/>
    <w:rsid w:val="00823109"/>
    <w:rsid w:val="00823676"/>
    <w:rsid w:val="00823808"/>
    <w:rsid w:val="008242D8"/>
    <w:rsid w:val="00824713"/>
    <w:rsid w:val="008247B3"/>
    <w:rsid w:val="00825D85"/>
    <w:rsid w:val="00825F06"/>
    <w:rsid w:val="00826326"/>
    <w:rsid w:val="00826708"/>
    <w:rsid w:val="0082687C"/>
    <w:rsid w:val="00826D43"/>
    <w:rsid w:val="00826EC8"/>
    <w:rsid w:val="008301C1"/>
    <w:rsid w:val="008305F2"/>
    <w:rsid w:val="00831311"/>
    <w:rsid w:val="00831A25"/>
    <w:rsid w:val="00832AB1"/>
    <w:rsid w:val="0083392D"/>
    <w:rsid w:val="00835B5B"/>
    <w:rsid w:val="00840393"/>
    <w:rsid w:val="008403AA"/>
    <w:rsid w:val="0084093F"/>
    <w:rsid w:val="00840EB9"/>
    <w:rsid w:val="00842D3A"/>
    <w:rsid w:val="00842F34"/>
    <w:rsid w:val="00843662"/>
    <w:rsid w:val="008437FE"/>
    <w:rsid w:val="00844121"/>
    <w:rsid w:val="00844371"/>
    <w:rsid w:val="00844A6C"/>
    <w:rsid w:val="0084601B"/>
    <w:rsid w:val="00846397"/>
    <w:rsid w:val="008463A3"/>
    <w:rsid w:val="0084685E"/>
    <w:rsid w:val="00847177"/>
    <w:rsid w:val="008475CB"/>
    <w:rsid w:val="00850651"/>
    <w:rsid w:val="00851CA2"/>
    <w:rsid w:val="00851D11"/>
    <w:rsid w:val="00852964"/>
    <w:rsid w:val="00854243"/>
    <w:rsid w:val="008542A6"/>
    <w:rsid w:val="008545BD"/>
    <w:rsid w:val="0085479E"/>
    <w:rsid w:val="00854A6F"/>
    <w:rsid w:val="008553BD"/>
    <w:rsid w:val="00855B0F"/>
    <w:rsid w:val="00855FC9"/>
    <w:rsid w:val="00856165"/>
    <w:rsid w:val="00860EE7"/>
    <w:rsid w:val="00862693"/>
    <w:rsid w:val="00862D74"/>
    <w:rsid w:val="00862FBE"/>
    <w:rsid w:val="0086301D"/>
    <w:rsid w:val="008647EE"/>
    <w:rsid w:val="008649AA"/>
    <w:rsid w:val="00864F6D"/>
    <w:rsid w:val="00865717"/>
    <w:rsid w:val="00865B88"/>
    <w:rsid w:val="0086601D"/>
    <w:rsid w:val="008661B2"/>
    <w:rsid w:val="008662D3"/>
    <w:rsid w:val="008662DB"/>
    <w:rsid w:val="0086679D"/>
    <w:rsid w:val="0086698F"/>
    <w:rsid w:val="00866FEB"/>
    <w:rsid w:val="00867C1A"/>
    <w:rsid w:val="00867FAE"/>
    <w:rsid w:val="00870EC0"/>
    <w:rsid w:val="00871200"/>
    <w:rsid w:val="008712DE"/>
    <w:rsid w:val="0087217D"/>
    <w:rsid w:val="00872981"/>
    <w:rsid w:val="00872D60"/>
    <w:rsid w:val="00873653"/>
    <w:rsid w:val="0087465E"/>
    <w:rsid w:val="00874B05"/>
    <w:rsid w:val="00874B2F"/>
    <w:rsid w:val="00874D0D"/>
    <w:rsid w:val="00875753"/>
    <w:rsid w:val="00876369"/>
    <w:rsid w:val="00876497"/>
    <w:rsid w:val="00876A65"/>
    <w:rsid w:val="00877DA7"/>
    <w:rsid w:val="00880D0C"/>
    <w:rsid w:val="0088146C"/>
    <w:rsid w:val="008818DB"/>
    <w:rsid w:val="0088199F"/>
    <w:rsid w:val="00881C2C"/>
    <w:rsid w:val="00881C64"/>
    <w:rsid w:val="00881E3E"/>
    <w:rsid w:val="0088252E"/>
    <w:rsid w:val="00882C2E"/>
    <w:rsid w:val="00883C80"/>
    <w:rsid w:val="00884174"/>
    <w:rsid w:val="0088468D"/>
    <w:rsid w:val="008847A2"/>
    <w:rsid w:val="00884D04"/>
    <w:rsid w:val="00884E83"/>
    <w:rsid w:val="008854B8"/>
    <w:rsid w:val="008854E9"/>
    <w:rsid w:val="00885CB9"/>
    <w:rsid w:val="00885FE0"/>
    <w:rsid w:val="0088605F"/>
    <w:rsid w:val="008869CF"/>
    <w:rsid w:val="00886B23"/>
    <w:rsid w:val="00887110"/>
    <w:rsid w:val="008874B9"/>
    <w:rsid w:val="00887DF2"/>
    <w:rsid w:val="00890C96"/>
    <w:rsid w:val="00891983"/>
    <w:rsid w:val="00891E99"/>
    <w:rsid w:val="00892091"/>
    <w:rsid w:val="00892273"/>
    <w:rsid w:val="00892927"/>
    <w:rsid w:val="00892F0A"/>
    <w:rsid w:val="00893027"/>
    <w:rsid w:val="00893152"/>
    <w:rsid w:val="00893203"/>
    <w:rsid w:val="0089332D"/>
    <w:rsid w:val="00893A22"/>
    <w:rsid w:val="008940C5"/>
    <w:rsid w:val="0089541C"/>
    <w:rsid w:val="008959C1"/>
    <w:rsid w:val="00895A67"/>
    <w:rsid w:val="00895C02"/>
    <w:rsid w:val="00896174"/>
    <w:rsid w:val="0089628B"/>
    <w:rsid w:val="00896343"/>
    <w:rsid w:val="008967FB"/>
    <w:rsid w:val="0089710C"/>
    <w:rsid w:val="0089777C"/>
    <w:rsid w:val="00897EC4"/>
    <w:rsid w:val="008A02B1"/>
    <w:rsid w:val="008A0307"/>
    <w:rsid w:val="008A0B74"/>
    <w:rsid w:val="008A0F09"/>
    <w:rsid w:val="008A3032"/>
    <w:rsid w:val="008A3469"/>
    <w:rsid w:val="008A3574"/>
    <w:rsid w:val="008A35E1"/>
    <w:rsid w:val="008A3CBE"/>
    <w:rsid w:val="008A4096"/>
    <w:rsid w:val="008A45EE"/>
    <w:rsid w:val="008A503D"/>
    <w:rsid w:val="008A5BCC"/>
    <w:rsid w:val="008A6200"/>
    <w:rsid w:val="008A6731"/>
    <w:rsid w:val="008A673D"/>
    <w:rsid w:val="008A6A9C"/>
    <w:rsid w:val="008A6D9B"/>
    <w:rsid w:val="008A7A40"/>
    <w:rsid w:val="008B009E"/>
    <w:rsid w:val="008B165E"/>
    <w:rsid w:val="008B1B83"/>
    <w:rsid w:val="008B2147"/>
    <w:rsid w:val="008B2613"/>
    <w:rsid w:val="008B359A"/>
    <w:rsid w:val="008B3DAE"/>
    <w:rsid w:val="008B3FDB"/>
    <w:rsid w:val="008B41F4"/>
    <w:rsid w:val="008B4ADC"/>
    <w:rsid w:val="008B4C92"/>
    <w:rsid w:val="008B4E29"/>
    <w:rsid w:val="008B50C8"/>
    <w:rsid w:val="008B5AE8"/>
    <w:rsid w:val="008B61F5"/>
    <w:rsid w:val="008B67BA"/>
    <w:rsid w:val="008B680A"/>
    <w:rsid w:val="008B6C4E"/>
    <w:rsid w:val="008B6F86"/>
    <w:rsid w:val="008B73C5"/>
    <w:rsid w:val="008B762B"/>
    <w:rsid w:val="008B7DCB"/>
    <w:rsid w:val="008C05C3"/>
    <w:rsid w:val="008C1439"/>
    <w:rsid w:val="008C1CB8"/>
    <w:rsid w:val="008C1DCC"/>
    <w:rsid w:val="008C1E1E"/>
    <w:rsid w:val="008C1E3E"/>
    <w:rsid w:val="008C1ED0"/>
    <w:rsid w:val="008C1F78"/>
    <w:rsid w:val="008C1F99"/>
    <w:rsid w:val="008C2FB9"/>
    <w:rsid w:val="008C2FD7"/>
    <w:rsid w:val="008C33CD"/>
    <w:rsid w:val="008C34AE"/>
    <w:rsid w:val="008C58A2"/>
    <w:rsid w:val="008C5C74"/>
    <w:rsid w:val="008C5E64"/>
    <w:rsid w:val="008C6084"/>
    <w:rsid w:val="008C6146"/>
    <w:rsid w:val="008C65B6"/>
    <w:rsid w:val="008C6743"/>
    <w:rsid w:val="008C68FC"/>
    <w:rsid w:val="008C7406"/>
    <w:rsid w:val="008C77DA"/>
    <w:rsid w:val="008C7BFF"/>
    <w:rsid w:val="008C7E54"/>
    <w:rsid w:val="008C7F78"/>
    <w:rsid w:val="008D02DA"/>
    <w:rsid w:val="008D039E"/>
    <w:rsid w:val="008D18FD"/>
    <w:rsid w:val="008D21C2"/>
    <w:rsid w:val="008D2330"/>
    <w:rsid w:val="008D2F07"/>
    <w:rsid w:val="008D35A8"/>
    <w:rsid w:val="008D3A84"/>
    <w:rsid w:val="008D3AC5"/>
    <w:rsid w:val="008D3B4F"/>
    <w:rsid w:val="008D3BA7"/>
    <w:rsid w:val="008D3BFA"/>
    <w:rsid w:val="008D4032"/>
    <w:rsid w:val="008D42FC"/>
    <w:rsid w:val="008D541B"/>
    <w:rsid w:val="008D609F"/>
    <w:rsid w:val="008D6352"/>
    <w:rsid w:val="008D6593"/>
    <w:rsid w:val="008D6D05"/>
    <w:rsid w:val="008D7493"/>
    <w:rsid w:val="008D7958"/>
    <w:rsid w:val="008E0226"/>
    <w:rsid w:val="008E0CC7"/>
    <w:rsid w:val="008E1487"/>
    <w:rsid w:val="008E1D8C"/>
    <w:rsid w:val="008E2083"/>
    <w:rsid w:val="008E2193"/>
    <w:rsid w:val="008E2792"/>
    <w:rsid w:val="008E2E36"/>
    <w:rsid w:val="008E2EE5"/>
    <w:rsid w:val="008E31CB"/>
    <w:rsid w:val="008E361F"/>
    <w:rsid w:val="008E486C"/>
    <w:rsid w:val="008E57F7"/>
    <w:rsid w:val="008E5FD5"/>
    <w:rsid w:val="008E6222"/>
    <w:rsid w:val="008E70BE"/>
    <w:rsid w:val="008E738B"/>
    <w:rsid w:val="008E763F"/>
    <w:rsid w:val="008F1545"/>
    <w:rsid w:val="008F1645"/>
    <w:rsid w:val="008F27B2"/>
    <w:rsid w:val="008F32AA"/>
    <w:rsid w:val="008F3563"/>
    <w:rsid w:val="008F3DAD"/>
    <w:rsid w:val="008F3ED9"/>
    <w:rsid w:val="008F4733"/>
    <w:rsid w:val="008F47E1"/>
    <w:rsid w:val="008F4FF7"/>
    <w:rsid w:val="008F51A1"/>
    <w:rsid w:val="008F67E0"/>
    <w:rsid w:val="008F6CFA"/>
    <w:rsid w:val="008F6DA3"/>
    <w:rsid w:val="008F7566"/>
    <w:rsid w:val="008F75E0"/>
    <w:rsid w:val="00900734"/>
    <w:rsid w:val="00900FE9"/>
    <w:rsid w:val="00901462"/>
    <w:rsid w:val="009014B6"/>
    <w:rsid w:val="00902D64"/>
    <w:rsid w:val="00902DC2"/>
    <w:rsid w:val="00903099"/>
    <w:rsid w:val="0090427E"/>
    <w:rsid w:val="0090483E"/>
    <w:rsid w:val="00904B1A"/>
    <w:rsid w:val="00904F7C"/>
    <w:rsid w:val="009053E5"/>
    <w:rsid w:val="00905F08"/>
    <w:rsid w:val="00906758"/>
    <w:rsid w:val="00906C81"/>
    <w:rsid w:val="00907F9D"/>
    <w:rsid w:val="00910845"/>
    <w:rsid w:val="00911056"/>
    <w:rsid w:val="0091106A"/>
    <w:rsid w:val="009114AA"/>
    <w:rsid w:val="009114B8"/>
    <w:rsid w:val="00911A5D"/>
    <w:rsid w:val="00911A83"/>
    <w:rsid w:val="0091214F"/>
    <w:rsid w:val="00913165"/>
    <w:rsid w:val="009134C4"/>
    <w:rsid w:val="00913764"/>
    <w:rsid w:val="00913F7B"/>
    <w:rsid w:val="009150FE"/>
    <w:rsid w:val="00915210"/>
    <w:rsid w:val="00915281"/>
    <w:rsid w:val="00915845"/>
    <w:rsid w:val="00915B42"/>
    <w:rsid w:val="00916FD5"/>
    <w:rsid w:val="00917305"/>
    <w:rsid w:val="00917612"/>
    <w:rsid w:val="00917A36"/>
    <w:rsid w:val="00920224"/>
    <w:rsid w:val="0092055C"/>
    <w:rsid w:val="00920FED"/>
    <w:rsid w:val="00921145"/>
    <w:rsid w:val="009217AB"/>
    <w:rsid w:val="009219B2"/>
    <w:rsid w:val="00921F3A"/>
    <w:rsid w:val="00922018"/>
    <w:rsid w:val="009223D3"/>
    <w:rsid w:val="00922CE0"/>
    <w:rsid w:val="009233F2"/>
    <w:rsid w:val="00924211"/>
    <w:rsid w:val="009247AC"/>
    <w:rsid w:val="00925B24"/>
    <w:rsid w:val="00925FB1"/>
    <w:rsid w:val="0092603C"/>
    <w:rsid w:val="0092656B"/>
    <w:rsid w:val="009265F2"/>
    <w:rsid w:val="00926814"/>
    <w:rsid w:val="00926893"/>
    <w:rsid w:val="0092782C"/>
    <w:rsid w:val="00927E43"/>
    <w:rsid w:val="009302CA"/>
    <w:rsid w:val="009304B0"/>
    <w:rsid w:val="009309C7"/>
    <w:rsid w:val="009309CF"/>
    <w:rsid w:val="00930DB9"/>
    <w:rsid w:val="00930ED4"/>
    <w:rsid w:val="00931089"/>
    <w:rsid w:val="00931F2A"/>
    <w:rsid w:val="00932112"/>
    <w:rsid w:val="0093268D"/>
    <w:rsid w:val="00932DE7"/>
    <w:rsid w:val="00933BDF"/>
    <w:rsid w:val="00934358"/>
    <w:rsid w:val="0093512A"/>
    <w:rsid w:val="00935BD9"/>
    <w:rsid w:val="00935DBC"/>
    <w:rsid w:val="009378D1"/>
    <w:rsid w:val="009379B3"/>
    <w:rsid w:val="00937CB8"/>
    <w:rsid w:val="00937FFB"/>
    <w:rsid w:val="00940267"/>
    <w:rsid w:val="00940C86"/>
    <w:rsid w:val="0094104C"/>
    <w:rsid w:val="00941524"/>
    <w:rsid w:val="009419B2"/>
    <w:rsid w:val="009432D8"/>
    <w:rsid w:val="009437AC"/>
    <w:rsid w:val="0094397B"/>
    <w:rsid w:val="009439FA"/>
    <w:rsid w:val="00944525"/>
    <w:rsid w:val="009447DB"/>
    <w:rsid w:val="00944A42"/>
    <w:rsid w:val="00944B68"/>
    <w:rsid w:val="00944C0B"/>
    <w:rsid w:val="00944C88"/>
    <w:rsid w:val="009466D9"/>
    <w:rsid w:val="0094716C"/>
    <w:rsid w:val="00947447"/>
    <w:rsid w:val="00947995"/>
    <w:rsid w:val="009504A5"/>
    <w:rsid w:val="009506BA"/>
    <w:rsid w:val="00950A65"/>
    <w:rsid w:val="0095123E"/>
    <w:rsid w:val="00951E6E"/>
    <w:rsid w:val="00951F95"/>
    <w:rsid w:val="00952E62"/>
    <w:rsid w:val="009536A3"/>
    <w:rsid w:val="00953910"/>
    <w:rsid w:val="00953C2D"/>
    <w:rsid w:val="00954528"/>
    <w:rsid w:val="00954569"/>
    <w:rsid w:val="00954891"/>
    <w:rsid w:val="00954C1A"/>
    <w:rsid w:val="0095548C"/>
    <w:rsid w:val="009555F9"/>
    <w:rsid w:val="009557E0"/>
    <w:rsid w:val="00955FAE"/>
    <w:rsid w:val="0095630E"/>
    <w:rsid w:val="0095689B"/>
    <w:rsid w:val="00956E17"/>
    <w:rsid w:val="009577B7"/>
    <w:rsid w:val="0095798D"/>
    <w:rsid w:val="0096050B"/>
    <w:rsid w:val="009605A5"/>
    <w:rsid w:val="009605DF"/>
    <w:rsid w:val="00960ABD"/>
    <w:rsid w:val="00960BE7"/>
    <w:rsid w:val="00960C3B"/>
    <w:rsid w:val="009613F5"/>
    <w:rsid w:val="009627C3"/>
    <w:rsid w:val="009629D2"/>
    <w:rsid w:val="00962EC7"/>
    <w:rsid w:val="00962F23"/>
    <w:rsid w:val="00964BC8"/>
    <w:rsid w:val="00964DE7"/>
    <w:rsid w:val="009654D1"/>
    <w:rsid w:val="00966509"/>
    <w:rsid w:val="00966720"/>
    <w:rsid w:val="00966C83"/>
    <w:rsid w:val="0096740B"/>
    <w:rsid w:val="00967576"/>
    <w:rsid w:val="009678B8"/>
    <w:rsid w:val="00967A93"/>
    <w:rsid w:val="00967D3E"/>
    <w:rsid w:val="00967D97"/>
    <w:rsid w:val="00967FF2"/>
    <w:rsid w:val="0097147E"/>
    <w:rsid w:val="00971550"/>
    <w:rsid w:val="00971D21"/>
    <w:rsid w:val="009730C4"/>
    <w:rsid w:val="00973F41"/>
    <w:rsid w:val="0097450C"/>
    <w:rsid w:val="00974ADD"/>
    <w:rsid w:val="00974C77"/>
    <w:rsid w:val="00975460"/>
    <w:rsid w:val="00975668"/>
    <w:rsid w:val="00976022"/>
    <w:rsid w:val="009765F2"/>
    <w:rsid w:val="009766C8"/>
    <w:rsid w:val="00976EA9"/>
    <w:rsid w:val="00976FE7"/>
    <w:rsid w:val="00977A5B"/>
    <w:rsid w:val="00980111"/>
    <w:rsid w:val="00980CFF"/>
    <w:rsid w:val="00981500"/>
    <w:rsid w:val="009815BB"/>
    <w:rsid w:val="00981841"/>
    <w:rsid w:val="00981F24"/>
    <w:rsid w:val="00982404"/>
    <w:rsid w:val="009829A9"/>
    <w:rsid w:val="0098303C"/>
    <w:rsid w:val="009834C7"/>
    <w:rsid w:val="00983A21"/>
    <w:rsid w:val="00984084"/>
    <w:rsid w:val="00984392"/>
    <w:rsid w:val="0098447F"/>
    <w:rsid w:val="00984F83"/>
    <w:rsid w:val="009865FB"/>
    <w:rsid w:val="00986CB8"/>
    <w:rsid w:val="009876BC"/>
    <w:rsid w:val="009879E3"/>
    <w:rsid w:val="009908E1"/>
    <w:rsid w:val="00990A87"/>
    <w:rsid w:val="009917B2"/>
    <w:rsid w:val="00991A50"/>
    <w:rsid w:val="00992015"/>
    <w:rsid w:val="00992911"/>
    <w:rsid w:val="009936AE"/>
    <w:rsid w:val="00993801"/>
    <w:rsid w:val="0099384D"/>
    <w:rsid w:val="009942F0"/>
    <w:rsid w:val="00994B8B"/>
    <w:rsid w:val="00994F33"/>
    <w:rsid w:val="00995857"/>
    <w:rsid w:val="009960DA"/>
    <w:rsid w:val="00996842"/>
    <w:rsid w:val="00996F7E"/>
    <w:rsid w:val="00996FAE"/>
    <w:rsid w:val="009A08BF"/>
    <w:rsid w:val="009A14A1"/>
    <w:rsid w:val="009A22C8"/>
    <w:rsid w:val="009A2861"/>
    <w:rsid w:val="009A2C80"/>
    <w:rsid w:val="009A2D00"/>
    <w:rsid w:val="009A2F22"/>
    <w:rsid w:val="009A3366"/>
    <w:rsid w:val="009A3921"/>
    <w:rsid w:val="009A3B78"/>
    <w:rsid w:val="009A3F83"/>
    <w:rsid w:val="009A41CA"/>
    <w:rsid w:val="009A52EC"/>
    <w:rsid w:val="009A55F9"/>
    <w:rsid w:val="009A5D93"/>
    <w:rsid w:val="009A6117"/>
    <w:rsid w:val="009A6298"/>
    <w:rsid w:val="009A6398"/>
    <w:rsid w:val="009A667D"/>
    <w:rsid w:val="009A6E2C"/>
    <w:rsid w:val="009A7C73"/>
    <w:rsid w:val="009B1629"/>
    <w:rsid w:val="009B1A44"/>
    <w:rsid w:val="009B280F"/>
    <w:rsid w:val="009B28E1"/>
    <w:rsid w:val="009B36C8"/>
    <w:rsid w:val="009B4186"/>
    <w:rsid w:val="009B442E"/>
    <w:rsid w:val="009B4470"/>
    <w:rsid w:val="009B47DC"/>
    <w:rsid w:val="009B4EAA"/>
    <w:rsid w:val="009B4ED3"/>
    <w:rsid w:val="009B5288"/>
    <w:rsid w:val="009B6120"/>
    <w:rsid w:val="009B78A1"/>
    <w:rsid w:val="009C0612"/>
    <w:rsid w:val="009C17BA"/>
    <w:rsid w:val="009C243F"/>
    <w:rsid w:val="009C26F5"/>
    <w:rsid w:val="009C3152"/>
    <w:rsid w:val="009C3AEA"/>
    <w:rsid w:val="009C464A"/>
    <w:rsid w:val="009C4788"/>
    <w:rsid w:val="009C4C86"/>
    <w:rsid w:val="009C4E91"/>
    <w:rsid w:val="009C5039"/>
    <w:rsid w:val="009C63C1"/>
    <w:rsid w:val="009C7619"/>
    <w:rsid w:val="009C7D78"/>
    <w:rsid w:val="009C7FCA"/>
    <w:rsid w:val="009D0A06"/>
    <w:rsid w:val="009D0E74"/>
    <w:rsid w:val="009D1864"/>
    <w:rsid w:val="009D1D6B"/>
    <w:rsid w:val="009D1F20"/>
    <w:rsid w:val="009D24FD"/>
    <w:rsid w:val="009D2BD2"/>
    <w:rsid w:val="009D314F"/>
    <w:rsid w:val="009D3C73"/>
    <w:rsid w:val="009D3E5E"/>
    <w:rsid w:val="009D43FE"/>
    <w:rsid w:val="009D4989"/>
    <w:rsid w:val="009D4B6D"/>
    <w:rsid w:val="009D64F2"/>
    <w:rsid w:val="009D70ED"/>
    <w:rsid w:val="009D781A"/>
    <w:rsid w:val="009D7CC8"/>
    <w:rsid w:val="009E00FD"/>
    <w:rsid w:val="009E066D"/>
    <w:rsid w:val="009E07B3"/>
    <w:rsid w:val="009E0BF0"/>
    <w:rsid w:val="009E0E1F"/>
    <w:rsid w:val="009E1E7A"/>
    <w:rsid w:val="009E24A2"/>
    <w:rsid w:val="009E26C4"/>
    <w:rsid w:val="009E294E"/>
    <w:rsid w:val="009E2B7E"/>
    <w:rsid w:val="009E3146"/>
    <w:rsid w:val="009E35DE"/>
    <w:rsid w:val="009E3D70"/>
    <w:rsid w:val="009E48AC"/>
    <w:rsid w:val="009E5A81"/>
    <w:rsid w:val="009E61D5"/>
    <w:rsid w:val="009E7A5D"/>
    <w:rsid w:val="009F0393"/>
    <w:rsid w:val="009F0ECE"/>
    <w:rsid w:val="009F0FE4"/>
    <w:rsid w:val="009F19FA"/>
    <w:rsid w:val="009F1B2B"/>
    <w:rsid w:val="009F1F54"/>
    <w:rsid w:val="009F227E"/>
    <w:rsid w:val="009F22E9"/>
    <w:rsid w:val="009F2BF5"/>
    <w:rsid w:val="009F4488"/>
    <w:rsid w:val="009F4899"/>
    <w:rsid w:val="009F5087"/>
    <w:rsid w:val="009F538A"/>
    <w:rsid w:val="009F623F"/>
    <w:rsid w:val="009F624B"/>
    <w:rsid w:val="009F63B9"/>
    <w:rsid w:val="009F6BC5"/>
    <w:rsid w:val="009F6D4F"/>
    <w:rsid w:val="009F79A6"/>
    <w:rsid w:val="009F7F56"/>
    <w:rsid w:val="00A0064A"/>
    <w:rsid w:val="00A006D0"/>
    <w:rsid w:val="00A0079B"/>
    <w:rsid w:val="00A00AF3"/>
    <w:rsid w:val="00A0145E"/>
    <w:rsid w:val="00A0154D"/>
    <w:rsid w:val="00A02194"/>
    <w:rsid w:val="00A02C3C"/>
    <w:rsid w:val="00A03147"/>
    <w:rsid w:val="00A0413C"/>
    <w:rsid w:val="00A0426B"/>
    <w:rsid w:val="00A04827"/>
    <w:rsid w:val="00A05B9E"/>
    <w:rsid w:val="00A05DA9"/>
    <w:rsid w:val="00A064DE"/>
    <w:rsid w:val="00A0670F"/>
    <w:rsid w:val="00A06F49"/>
    <w:rsid w:val="00A073B0"/>
    <w:rsid w:val="00A07FCB"/>
    <w:rsid w:val="00A10536"/>
    <w:rsid w:val="00A1135E"/>
    <w:rsid w:val="00A11ADF"/>
    <w:rsid w:val="00A11C89"/>
    <w:rsid w:val="00A12265"/>
    <w:rsid w:val="00A12458"/>
    <w:rsid w:val="00A1254C"/>
    <w:rsid w:val="00A12633"/>
    <w:rsid w:val="00A12BDA"/>
    <w:rsid w:val="00A12E3A"/>
    <w:rsid w:val="00A130AC"/>
    <w:rsid w:val="00A131F9"/>
    <w:rsid w:val="00A133B8"/>
    <w:rsid w:val="00A14155"/>
    <w:rsid w:val="00A14642"/>
    <w:rsid w:val="00A17CB9"/>
    <w:rsid w:val="00A2023B"/>
    <w:rsid w:val="00A20B9E"/>
    <w:rsid w:val="00A21A05"/>
    <w:rsid w:val="00A21BA6"/>
    <w:rsid w:val="00A2233A"/>
    <w:rsid w:val="00A22864"/>
    <w:rsid w:val="00A22BB0"/>
    <w:rsid w:val="00A22EFB"/>
    <w:rsid w:val="00A22F4C"/>
    <w:rsid w:val="00A23246"/>
    <w:rsid w:val="00A2343E"/>
    <w:rsid w:val="00A2350F"/>
    <w:rsid w:val="00A238A5"/>
    <w:rsid w:val="00A2411D"/>
    <w:rsid w:val="00A253BB"/>
    <w:rsid w:val="00A2730E"/>
    <w:rsid w:val="00A27614"/>
    <w:rsid w:val="00A2776E"/>
    <w:rsid w:val="00A30F27"/>
    <w:rsid w:val="00A31050"/>
    <w:rsid w:val="00A31569"/>
    <w:rsid w:val="00A31640"/>
    <w:rsid w:val="00A32E0A"/>
    <w:rsid w:val="00A33F63"/>
    <w:rsid w:val="00A35432"/>
    <w:rsid w:val="00A35CA7"/>
    <w:rsid w:val="00A36A03"/>
    <w:rsid w:val="00A36A5F"/>
    <w:rsid w:val="00A371D4"/>
    <w:rsid w:val="00A3738E"/>
    <w:rsid w:val="00A37512"/>
    <w:rsid w:val="00A37C5C"/>
    <w:rsid w:val="00A40428"/>
    <w:rsid w:val="00A41476"/>
    <w:rsid w:val="00A4150D"/>
    <w:rsid w:val="00A42860"/>
    <w:rsid w:val="00A42A9A"/>
    <w:rsid w:val="00A430E0"/>
    <w:rsid w:val="00A43267"/>
    <w:rsid w:val="00A44034"/>
    <w:rsid w:val="00A4408D"/>
    <w:rsid w:val="00A4432C"/>
    <w:rsid w:val="00A447AB"/>
    <w:rsid w:val="00A447F9"/>
    <w:rsid w:val="00A4480A"/>
    <w:rsid w:val="00A467B8"/>
    <w:rsid w:val="00A46927"/>
    <w:rsid w:val="00A47356"/>
    <w:rsid w:val="00A47BAC"/>
    <w:rsid w:val="00A5063B"/>
    <w:rsid w:val="00A51045"/>
    <w:rsid w:val="00A511AC"/>
    <w:rsid w:val="00A513E2"/>
    <w:rsid w:val="00A52093"/>
    <w:rsid w:val="00A52241"/>
    <w:rsid w:val="00A5256E"/>
    <w:rsid w:val="00A534E1"/>
    <w:rsid w:val="00A539F0"/>
    <w:rsid w:val="00A54805"/>
    <w:rsid w:val="00A55498"/>
    <w:rsid w:val="00A556A9"/>
    <w:rsid w:val="00A5573C"/>
    <w:rsid w:val="00A55B21"/>
    <w:rsid w:val="00A55D07"/>
    <w:rsid w:val="00A55DFA"/>
    <w:rsid w:val="00A56689"/>
    <w:rsid w:val="00A569B6"/>
    <w:rsid w:val="00A60AE0"/>
    <w:rsid w:val="00A60B1E"/>
    <w:rsid w:val="00A61666"/>
    <w:rsid w:val="00A617A8"/>
    <w:rsid w:val="00A6181A"/>
    <w:rsid w:val="00A618EB"/>
    <w:rsid w:val="00A61FDF"/>
    <w:rsid w:val="00A626D2"/>
    <w:rsid w:val="00A6296B"/>
    <w:rsid w:val="00A62BC2"/>
    <w:rsid w:val="00A63826"/>
    <w:rsid w:val="00A63A1C"/>
    <w:rsid w:val="00A64A1D"/>
    <w:rsid w:val="00A6516A"/>
    <w:rsid w:val="00A6573F"/>
    <w:rsid w:val="00A65B56"/>
    <w:rsid w:val="00A6680D"/>
    <w:rsid w:val="00A66A55"/>
    <w:rsid w:val="00A67E66"/>
    <w:rsid w:val="00A67FB8"/>
    <w:rsid w:val="00A7022D"/>
    <w:rsid w:val="00A70840"/>
    <w:rsid w:val="00A70A1F"/>
    <w:rsid w:val="00A70CE2"/>
    <w:rsid w:val="00A70E14"/>
    <w:rsid w:val="00A7179A"/>
    <w:rsid w:val="00A72DAE"/>
    <w:rsid w:val="00A73173"/>
    <w:rsid w:val="00A7339D"/>
    <w:rsid w:val="00A74483"/>
    <w:rsid w:val="00A74584"/>
    <w:rsid w:val="00A7542C"/>
    <w:rsid w:val="00A75A6B"/>
    <w:rsid w:val="00A7619B"/>
    <w:rsid w:val="00A7623A"/>
    <w:rsid w:val="00A76644"/>
    <w:rsid w:val="00A77F71"/>
    <w:rsid w:val="00A806DA"/>
    <w:rsid w:val="00A80DA1"/>
    <w:rsid w:val="00A8132B"/>
    <w:rsid w:val="00A81708"/>
    <w:rsid w:val="00A823D5"/>
    <w:rsid w:val="00A82495"/>
    <w:rsid w:val="00A83427"/>
    <w:rsid w:val="00A83C77"/>
    <w:rsid w:val="00A84D86"/>
    <w:rsid w:val="00A85015"/>
    <w:rsid w:val="00A85FCF"/>
    <w:rsid w:val="00A86375"/>
    <w:rsid w:val="00A86635"/>
    <w:rsid w:val="00A8674C"/>
    <w:rsid w:val="00A86ED8"/>
    <w:rsid w:val="00A870EE"/>
    <w:rsid w:val="00A87226"/>
    <w:rsid w:val="00A875BA"/>
    <w:rsid w:val="00A87F7D"/>
    <w:rsid w:val="00A902EA"/>
    <w:rsid w:val="00A903A6"/>
    <w:rsid w:val="00A9042F"/>
    <w:rsid w:val="00A910D5"/>
    <w:rsid w:val="00A910EC"/>
    <w:rsid w:val="00A91319"/>
    <w:rsid w:val="00A91430"/>
    <w:rsid w:val="00A91490"/>
    <w:rsid w:val="00A91AA9"/>
    <w:rsid w:val="00A9200E"/>
    <w:rsid w:val="00A92030"/>
    <w:rsid w:val="00A923E0"/>
    <w:rsid w:val="00A9270A"/>
    <w:rsid w:val="00A92844"/>
    <w:rsid w:val="00A92CDD"/>
    <w:rsid w:val="00A9328F"/>
    <w:rsid w:val="00A932C9"/>
    <w:rsid w:val="00A93F31"/>
    <w:rsid w:val="00A94664"/>
    <w:rsid w:val="00A94A9E"/>
    <w:rsid w:val="00A95403"/>
    <w:rsid w:val="00A95BD9"/>
    <w:rsid w:val="00A95EC1"/>
    <w:rsid w:val="00A961A9"/>
    <w:rsid w:val="00A96348"/>
    <w:rsid w:val="00A964A3"/>
    <w:rsid w:val="00A97BAF"/>
    <w:rsid w:val="00A97F04"/>
    <w:rsid w:val="00AA0550"/>
    <w:rsid w:val="00AA06C8"/>
    <w:rsid w:val="00AA0D4E"/>
    <w:rsid w:val="00AA1B4F"/>
    <w:rsid w:val="00AA1D8B"/>
    <w:rsid w:val="00AA1F26"/>
    <w:rsid w:val="00AA201E"/>
    <w:rsid w:val="00AA20AC"/>
    <w:rsid w:val="00AA2728"/>
    <w:rsid w:val="00AA2B93"/>
    <w:rsid w:val="00AA2DDE"/>
    <w:rsid w:val="00AA2E62"/>
    <w:rsid w:val="00AA3753"/>
    <w:rsid w:val="00AA39B3"/>
    <w:rsid w:val="00AA3BEB"/>
    <w:rsid w:val="00AA4718"/>
    <w:rsid w:val="00AA4A94"/>
    <w:rsid w:val="00AA4CD4"/>
    <w:rsid w:val="00AA5CF9"/>
    <w:rsid w:val="00AA5F63"/>
    <w:rsid w:val="00AA64C8"/>
    <w:rsid w:val="00AA68AE"/>
    <w:rsid w:val="00AA68B9"/>
    <w:rsid w:val="00AA6D5C"/>
    <w:rsid w:val="00AA75F2"/>
    <w:rsid w:val="00AA79A0"/>
    <w:rsid w:val="00AB04F7"/>
    <w:rsid w:val="00AB12A0"/>
    <w:rsid w:val="00AB14B6"/>
    <w:rsid w:val="00AB1588"/>
    <w:rsid w:val="00AB1D61"/>
    <w:rsid w:val="00AB2C9C"/>
    <w:rsid w:val="00AB34F1"/>
    <w:rsid w:val="00AB35DB"/>
    <w:rsid w:val="00AB4098"/>
    <w:rsid w:val="00AB4C5A"/>
    <w:rsid w:val="00AB4F86"/>
    <w:rsid w:val="00AB6793"/>
    <w:rsid w:val="00AB79FC"/>
    <w:rsid w:val="00AC0174"/>
    <w:rsid w:val="00AC0C29"/>
    <w:rsid w:val="00AC0D26"/>
    <w:rsid w:val="00AC1193"/>
    <w:rsid w:val="00AC187A"/>
    <w:rsid w:val="00AC1E95"/>
    <w:rsid w:val="00AC23B3"/>
    <w:rsid w:val="00AC2F96"/>
    <w:rsid w:val="00AC33EC"/>
    <w:rsid w:val="00AC3A7B"/>
    <w:rsid w:val="00AC3BCA"/>
    <w:rsid w:val="00AC3C29"/>
    <w:rsid w:val="00AC40B7"/>
    <w:rsid w:val="00AC4B5F"/>
    <w:rsid w:val="00AC5199"/>
    <w:rsid w:val="00AC5259"/>
    <w:rsid w:val="00AC5925"/>
    <w:rsid w:val="00AC5FD6"/>
    <w:rsid w:val="00AC65BF"/>
    <w:rsid w:val="00AC67D7"/>
    <w:rsid w:val="00AC6B9B"/>
    <w:rsid w:val="00AC6E18"/>
    <w:rsid w:val="00AC6FC8"/>
    <w:rsid w:val="00AC79D8"/>
    <w:rsid w:val="00AC7E92"/>
    <w:rsid w:val="00AD00B7"/>
    <w:rsid w:val="00AD0522"/>
    <w:rsid w:val="00AD19BF"/>
    <w:rsid w:val="00AD1F3D"/>
    <w:rsid w:val="00AD3AAA"/>
    <w:rsid w:val="00AD3D23"/>
    <w:rsid w:val="00AD4AF7"/>
    <w:rsid w:val="00AD5A4C"/>
    <w:rsid w:val="00AD5F69"/>
    <w:rsid w:val="00AD7F99"/>
    <w:rsid w:val="00AE00BD"/>
    <w:rsid w:val="00AE17F9"/>
    <w:rsid w:val="00AE1B2E"/>
    <w:rsid w:val="00AE1E17"/>
    <w:rsid w:val="00AE259B"/>
    <w:rsid w:val="00AE411E"/>
    <w:rsid w:val="00AE4350"/>
    <w:rsid w:val="00AE464D"/>
    <w:rsid w:val="00AE5600"/>
    <w:rsid w:val="00AE5B69"/>
    <w:rsid w:val="00AE5C40"/>
    <w:rsid w:val="00AE5F7F"/>
    <w:rsid w:val="00AE5FA8"/>
    <w:rsid w:val="00AE679E"/>
    <w:rsid w:val="00AE6D60"/>
    <w:rsid w:val="00AE6ED9"/>
    <w:rsid w:val="00AE7259"/>
    <w:rsid w:val="00AE7770"/>
    <w:rsid w:val="00AF01AB"/>
    <w:rsid w:val="00AF147A"/>
    <w:rsid w:val="00AF236D"/>
    <w:rsid w:val="00AF3154"/>
    <w:rsid w:val="00AF3931"/>
    <w:rsid w:val="00AF3DEC"/>
    <w:rsid w:val="00AF4C4C"/>
    <w:rsid w:val="00AF51A7"/>
    <w:rsid w:val="00AF54B3"/>
    <w:rsid w:val="00AF5581"/>
    <w:rsid w:val="00AF5AB9"/>
    <w:rsid w:val="00AF5BA2"/>
    <w:rsid w:val="00AF5D79"/>
    <w:rsid w:val="00AF6113"/>
    <w:rsid w:val="00AF6EA8"/>
    <w:rsid w:val="00AF73DF"/>
    <w:rsid w:val="00AF7CB0"/>
    <w:rsid w:val="00B017E2"/>
    <w:rsid w:val="00B02097"/>
    <w:rsid w:val="00B021AA"/>
    <w:rsid w:val="00B03110"/>
    <w:rsid w:val="00B03680"/>
    <w:rsid w:val="00B038C0"/>
    <w:rsid w:val="00B03B6E"/>
    <w:rsid w:val="00B0516C"/>
    <w:rsid w:val="00B05576"/>
    <w:rsid w:val="00B0630F"/>
    <w:rsid w:val="00B06660"/>
    <w:rsid w:val="00B06C16"/>
    <w:rsid w:val="00B06C24"/>
    <w:rsid w:val="00B06D1C"/>
    <w:rsid w:val="00B06FA6"/>
    <w:rsid w:val="00B07630"/>
    <w:rsid w:val="00B07A2B"/>
    <w:rsid w:val="00B07EF7"/>
    <w:rsid w:val="00B1044E"/>
    <w:rsid w:val="00B1061D"/>
    <w:rsid w:val="00B10A08"/>
    <w:rsid w:val="00B10F1D"/>
    <w:rsid w:val="00B10F24"/>
    <w:rsid w:val="00B11219"/>
    <w:rsid w:val="00B12325"/>
    <w:rsid w:val="00B12970"/>
    <w:rsid w:val="00B12AF2"/>
    <w:rsid w:val="00B12C07"/>
    <w:rsid w:val="00B12F10"/>
    <w:rsid w:val="00B131DD"/>
    <w:rsid w:val="00B13516"/>
    <w:rsid w:val="00B14162"/>
    <w:rsid w:val="00B155BC"/>
    <w:rsid w:val="00B15BCD"/>
    <w:rsid w:val="00B15C45"/>
    <w:rsid w:val="00B1648C"/>
    <w:rsid w:val="00B16A99"/>
    <w:rsid w:val="00B201B3"/>
    <w:rsid w:val="00B209DB"/>
    <w:rsid w:val="00B20ED9"/>
    <w:rsid w:val="00B212B9"/>
    <w:rsid w:val="00B2157D"/>
    <w:rsid w:val="00B21936"/>
    <w:rsid w:val="00B221BE"/>
    <w:rsid w:val="00B224EA"/>
    <w:rsid w:val="00B23D2C"/>
    <w:rsid w:val="00B23DE5"/>
    <w:rsid w:val="00B23E70"/>
    <w:rsid w:val="00B249FC"/>
    <w:rsid w:val="00B2523D"/>
    <w:rsid w:val="00B253F0"/>
    <w:rsid w:val="00B25F8D"/>
    <w:rsid w:val="00B2722F"/>
    <w:rsid w:val="00B277D1"/>
    <w:rsid w:val="00B27A40"/>
    <w:rsid w:val="00B3021E"/>
    <w:rsid w:val="00B302D7"/>
    <w:rsid w:val="00B31434"/>
    <w:rsid w:val="00B315ED"/>
    <w:rsid w:val="00B316A2"/>
    <w:rsid w:val="00B324F7"/>
    <w:rsid w:val="00B3287B"/>
    <w:rsid w:val="00B333D4"/>
    <w:rsid w:val="00B33577"/>
    <w:rsid w:val="00B33DE0"/>
    <w:rsid w:val="00B3403A"/>
    <w:rsid w:val="00B362CB"/>
    <w:rsid w:val="00B3668B"/>
    <w:rsid w:val="00B36D7D"/>
    <w:rsid w:val="00B37053"/>
    <w:rsid w:val="00B40FBD"/>
    <w:rsid w:val="00B41C25"/>
    <w:rsid w:val="00B421AC"/>
    <w:rsid w:val="00B421F0"/>
    <w:rsid w:val="00B42470"/>
    <w:rsid w:val="00B425F3"/>
    <w:rsid w:val="00B42E77"/>
    <w:rsid w:val="00B430EA"/>
    <w:rsid w:val="00B4390A"/>
    <w:rsid w:val="00B43B61"/>
    <w:rsid w:val="00B44AC6"/>
    <w:rsid w:val="00B45010"/>
    <w:rsid w:val="00B45041"/>
    <w:rsid w:val="00B45575"/>
    <w:rsid w:val="00B4569F"/>
    <w:rsid w:val="00B458B6"/>
    <w:rsid w:val="00B466F4"/>
    <w:rsid w:val="00B46A43"/>
    <w:rsid w:val="00B50525"/>
    <w:rsid w:val="00B5059F"/>
    <w:rsid w:val="00B51AF8"/>
    <w:rsid w:val="00B51FEA"/>
    <w:rsid w:val="00B52660"/>
    <w:rsid w:val="00B52EDC"/>
    <w:rsid w:val="00B52F89"/>
    <w:rsid w:val="00B530BE"/>
    <w:rsid w:val="00B53A48"/>
    <w:rsid w:val="00B53C53"/>
    <w:rsid w:val="00B54531"/>
    <w:rsid w:val="00B5485C"/>
    <w:rsid w:val="00B54D8A"/>
    <w:rsid w:val="00B54ED4"/>
    <w:rsid w:val="00B54EEB"/>
    <w:rsid w:val="00B55103"/>
    <w:rsid w:val="00B56071"/>
    <w:rsid w:val="00B56263"/>
    <w:rsid w:val="00B56977"/>
    <w:rsid w:val="00B569B4"/>
    <w:rsid w:val="00B56DED"/>
    <w:rsid w:val="00B57D59"/>
    <w:rsid w:val="00B60501"/>
    <w:rsid w:val="00B60A13"/>
    <w:rsid w:val="00B61490"/>
    <w:rsid w:val="00B61638"/>
    <w:rsid w:val="00B622E8"/>
    <w:rsid w:val="00B628C4"/>
    <w:rsid w:val="00B62BB9"/>
    <w:rsid w:val="00B62E87"/>
    <w:rsid w:val="00B63055"/>
    <w:rsid w:val="00B63557"/>
    <w:rsid w:val="00B63565"/>
    <w:rsid w:val="00B635A4"/>
    <w:rsid w:val="00B63661"/>
    <w:rsid w:val="00B63925"/>
    <w:rsid w:val="00B64111"/>
    <w:rsid w:val="00B65638"/>
    <w:rsid w:val="00B65ADE"/>
    <w:rsid w:val="00B66016"/>
    <w:rsid w:val="00B664BF"/>
    <w:rsid w:val="00B6699D"/>
    <w:rsid w:val="00B66B45"/>
    <w:rsid w:val="00B66DFD"/>
    <w:rsid w:val="00B67559"/>
    <w:rsid w:val="00B677D1"/>
    <w:rsid w:val="00B70198"/>
    <w:rsid w:val="00B70413"/>
    <w:rsid w:val="00B70EB7"/>
    <w:rsid w:val="00B70F98"/>
    <w:rsid w:val="00B710C0"/>
    <w:rsid w:val="00B7211E"/>
    <w:rsid w:val="00B72644"/>
    <w:rsid w:val="00B73209"/>
    <w:rsid w:val="00B734F6"/>
    <w:rsid w:val="00B73A0D"/>
    <w:rsid w:val="00B74412"/>
    <w:rsid w:val="00B74C2C"/>
    <w:rsid w:val="00B7680A"/>
    <w:rsid w:val="00B768AD"/>
    <w:rsid w:val="00B773E4"/>
    <w:rsid w:val="00B77B64"/>
    <w:rsid w:val="00B808CB"/>
    <w:rsid w:val="00B81587"/>
    <w:rsid w:val="00B81D1B"/>
    <w:rsid w:val="00B823F4"/>
    <w:rsid w:val="00B8328B"/>
    <w:rsid w:val="00B83478"/>
    <w:rsid w:val="00B83A0B"/>
    <w:rsid w:val="00B84827"/>
    <w:rsid w:val="00B84B36"/>
    <w:rsid w:val="00B85339"/>
    <w:rsid w:val="00B854E4"/>
    <w:rsid w:val="00B8633B"/>
    <w:rsid w:val="00B8648A"/>
    <w:rsid w:val="00B86C62"/>
    <w:rsid w:val="00B874C5"/>
    <w:rsid w:val="00B87870"/>
    <w:rsid w:val="00B87963"/>
    <w:rsid w:val="00B900D2"/>
    <w:rsid w:val="00B91182"/>
    <w:rsid w:val="00B91F26"/>
    <w:rsid w:val="00B925E2"/>
    <w:rsid w:val="00B925E8"/>
    <w:rsid w:val="00B928B4"/>
    <w:rsid w:val="00B92E17"/>
    <w:rsid w:val="00B93618"/>
    <w:rsid w:val="00B93A78"/>
    <w:rsid w:val="00B93BAF"/>
    <w:rsid w:val="00B9506C"/>
    <w:rsid w:val="00B95082"/>
    <w:rsid w:val="00B95EA2"/>
    <w:rsid w:val="00B95F4D"/>
    <w:rsid w:val="00B96218"/>
    <w:rsid w:val="00B96382"/>
    <w:rsid w:val="00B97708"/>
    <w:rsid w:val="00B97F8E"/>
    <w:rsid w:val="00BA0E6C"/>
    <w:rsid w:val="00BA1EBC"/>
    <w:rsid w:val="00BA21AA"/>
    <w:rsid w:val="00BA229D"/>
    <w:rsid w:val="00BA3236"/>
    <w:rsid w:val="00BA3298"/>
    <w:rsid w:val="00BA33D1"/>
    <w:rsid w:val="00BA34D6"/>
    <w:rsid w:val="00BA411D"/>
    <w:rsid w:val="00BA4A9F"/>
    <w:rsid w:val="00BA552D"/>
    <w:rsid w:val="00BA5A0B"/>
    <w:rsid w:val="00BA612E"/>
    <w:rsid w:val="00BA6873"/>
    <w:rsid w:val="00BA6AC7"/>
    <w:rsid w:val="00BA7196"/>
    <w:rsid w:val="00BB0322"/>
    <w:rsid w:val="00BB0869"/>
    <w:rsid w:val="00BB0A62"/>
    <w:rsid w:val="00BB1AAE"/>
    <w:rsid w:val="00BB1C87"/>
    <w:rsid w:val="00BB1CB5"/>
    <w:rsid w:val="00BB2143"/>
    <w:rsid w:val="00BB22A9"/>
    <w:rsid w:val="00BB28FD"/>
    <w:rsid w:val="00BB2D28"/>
    <w:rsid w:val="00BB4482"/>
    <w:rsid w:val="00BB4B4D"/>
    <w:rsid w:val="00BB53F4"/>
    <w:rsid w:val="00BB5A34"/>
    <w:rsid w:val="00BB5A6C"/>
    <w:rsid w:val="00BB5D24"/>
    <w:rsid w:val="00BB70FA"/>
    <w:rsid w:val="00BB79DC"/>
    <w:rsid w:val="00BB7BCC"/>
    <w:rsid w:val="00BB7CB9"/>
    <w:rsid w:val="00BC0364"/>
    <w:rsid w:val="00BC036B"/>
    <w:rsid w:val="00BC07B5"/>
    <w:rsid w:val="00BC0806"/>
    <w:rsid w:val="00BC0976"/>
    <w:rsid w:val="00BC1575"/>
    <w:rsid w:val="00BC234E"/>
    <w:rsid w:val="00BC27EC"/>
    <w:rsid w:val="00BC326A"/>
    <w:rsid w:val="00BC3F61"/>
    <w:rsid w:val="00BC53A2"/>
    <w:rsid w:val="00BC599C"/>
    <w:rsid w:val="00BC5A70"/>
    <w:rsid w:val="00BC60AE"/>
    <w:rsid w:val="00BC697B"/>
    <w:rsid w:val="00BC6FB3"/>
    <w:rsid w:val="00BC7945"/>
    <w:rsid w:val="00BC7A2F"/>
    <w:rsid w:val="00BC7A72"/>
    <w:rsid w:val="00BC7D35"/>
    <w:rsid w:val="00BD015B"/>
    <w:rsid w:val="00BD01EF"/>
    <w:rsid w:val="00BD0BEB"/>
    <w:rsid w:val="00BD1954"/>
    <w:rsid w:val="00BD2065"/>
    <w:rsid w:val="00BD3C08"/>
    <w:rsid w:val="00BD3C25"/>
    <w:rsid w:val="00BD3DAD"/>
    <w:rsid w:val="00BD4C26"/>
    <w:rsid w:val="00BD5123"/>
    <w:rsid w:val="00BD57E6"/>
    <w:rsid w:val="00BD5896"/>
    <w:rsid w:val="00BD5DC8"/>
    <w:rsid w:val="00BD5E67"/>
    <w:rsid w:val="00BD61F6"/>
    <w:rsid w:val="00BD6745"/>
    <w:rsid w:val="00BD6BA5"/>
    <w:rsid w:val="00BD6BF8"/>
    <w:rsid w:val="00BD78EF"/>
    <w:rsid w:val="00BD7BF1"/>
    <w:rsid w:val="00BE109A"/>
    <w:rsid w:val="00BE1405"/>
    <w:rsid w:val="00BE160C"/>
    <w:rsid w:val="00BE189F"/>
    <w:rsid w:val="00BE1A90"/>
    <w:rsid w:val="00BE1D1B"/>
    <w:rsid w:val="00BE37ED"/>
    <w:rsid w:val="00BE3B8B"/>
    <w:rsid w:val="00BE424C"/>
    <w:rsid w:val="00BE4522"/>
    <w:rsid w:val="00BE4948"/>
    <w:rsid w:val="00BE514A"/>
    <w:rsid w:val="00BE55DE"/>
    <w:rsid w:val="00BE5CC9"/>
    <w:rsid w:val="00BE5E88"/>
    <w:rsid w:val="00BE637C"/>
    <w:rsid w:val="00BE686C"/>
    <w:rsid w:val="00BE6CC0"/>
    <w:rsid w:val="00BE6FB3"/>
    <w:rsid w:val="00BE7972"/>
    <w:rsid w:val="00BE7FEF"/>
    <w:rsid w:val="00BF05A6"/>
    <w:rsid w:val="00BF06EC"/>
    <w:rsid w:val="00BF08E6"/>
    <w:rsid w:val="00BF0C3B"/>
    <w:rsid w:val="00BF10A5"/>
    <w:rsid w:val="00BF111A"/>
    <w:rsid w:val="00BF13BC"/>
    <w:rsid w:val="00BF179C"/>
    <w:rsid w:val="00BF2589"/>
    <w:rsid w:val="00BF258F"/>
    <w:rsid w:val="00BF3434"/>
    <w:rsid w:val="00BF37EC"/>
    <w:rsid w:val="00BF399A"/>
    <w:rsid w:val="00BF3A1B"/>
    <w:rsid w:val="00BF3FF6"/>
    <w:rsid w:val="00BF44D1"/>
    <w:rsid w:val="00BF47E1"/>
    <w:rsid w:val="00BF4DF1"/>
    <w:rsid w:val="00BF5365"/>
    <w:rsid w:val="00BF5802"/>
    <w:rsid w:val="00BF61B2"/>
    <w:rsid w:val="00BF6F83"/>
    <w:rsid w:val="00BF7EE7"/>
    <w:rsid w:val="00C009D4"/>
    <w:rsid w:val="00C014B6"/>
    <w:rsid w:val="00C01C39"/>
    <w:rsid w:val="00C02FA2"/>
    <w:rsid w:val="00C03144"/>
    <w:rsid w:val="00C0343B"/>
    <w:rsid w:val="00C0396A"/>
    <w:rsid w:val="00C043A8"/>
    <w:rsid w:val="00C04D9C"/>
    <w:rsid w:val="00C04F2E"/>
    <w:rsid w:val="00C057E8"/>
    <w:rsid w:val="00C0730A"/>
    <w:rsid w:val="00C077ED"/>
    <w:rsid w:val="00C07BD4"/>
    <w:rsid w:val="00C10BAA"/>
    <w:rsid w:val="00C10E0E"/>
    <w:rsid w:val="00C111EE"/>
    <w:rsid w:val="00C112F9"/>
    <w:rsid w:val="00C11375"/>
    <w:rsid w:val="00C11654"/>
    <w:rsid w:val="00C121A6"/>
    <w:rsid w:val="00C130BA"/>
    <w:rsid w:val="00C13C08"/>
    <w:rsid w:val="00C15D61"/>
    <w:rsid w:val="00C161FC"/>
    <w:rsid w:val="00C16B98"/>
    <w:rsid w:val="00C16CCD"/>
    <w:rsid w:val="00C20295"/>
    <w:rsid w:val="00C20D48"/>
    <w:rsid w:val="00C20D5F"/>
    <w:rsid w:val="00C20EA1"/>
    <w:rsid w:val="00C21772"/>
    <w:rsid w:val="00C219E4"/>
    <w:rsid w:val="00C21E3E"/>
    <w:rsid w:val="00C244F4"/>
    <w:rsid w:val="00C24641"/>
    <w:rsid w:val="00C247A3"/>
    <w:rsid w:val="00C25181"/>
    <w:rsid w:val="00C25351"/>
    <w:rsid w:val="00C2590D"/>
    <w:rsid w:val="00C262E2"/>
    <w:rsid w:val="00C266CB"/>
    <w:rsid w:val="00C26C5A"/>
    <w:rsid w:val="00C27264"/>
    <w:rsid w:val="00C27345"/>
    <w:rsid w:val="00C27664"/>
    <w:rsid w:val="00C2772C"/>
    <w:rsid w:val="00C277FD"/>
    <w:rsid w:val="00C27A07"/>
    <w:rsid w:val="00C27CAB"/>
    <w:rsid w:val="00C30281"/>
    <w:rsid w:val="00C30507"/>
    <w:rsid w:val="00C30551"/>
    <w:rsid w:val="00C318EC"/>
    <w:rsid w:val="00C3197B"/>
    <w:rsid w:val="00C31B91"/>
    <w:rsid w:val="00C31D6D"/>
    <w:rsid w:val="00C31E71"/>
    <w:rsid w:val="00C32853"/>
    <w:rsid w:val="00C32AC1"/>
    <w:rsid w:val="00C32B52"/>
    <w:rsid w:val="00C3326B"/>
    <w:rsid w:val="00C3361E"/>
    <w:rsid w:val="00C33B8F"/>
    <w:rsid w:val="00C33C92"/>
    <w:rsid w:val="00C34252"/>
    <w:rsid w:val="00C34DB6"/>
    <w:rsid w:val="00C3519A"/>
    <w:rsid w:val="00C36ED2"/>
    <w:rsid w:val="00C40454"/>
    <w:rsid w:val="00C40F53"/>
    <w:rsid w:val="00C4155A"/>
    <w:rsid w:val="00C41ABB"/>
    <w:rsid w:val="00C422C2"/>
    <w:rsid w:val="00C42F3B"/>
    <w:rsid w:val="00C437F8"/>
    <w:rsid w:val="00C43FE6"/>
    <w:rsid w:val="00C44067"/>
    <w:rsid w:val="00C445D1"/>
    <w:rsid w:val="00C44DAC"/>
    <w:rsid w:val="00C46028"/>
    <w:rsid w:val="00C46649"/>
    <w:rsid w:val="00C46814"/>
    <w:rsid w:val="00C47284"/>
    <w:rsid w:val="00C5066D"/>
    <w:rsid w:val="00C5101D"/>
    <w:rsid w:val="00C51CEC"/>
    <w:rsid w:val="00C52BDB"/>
    <w:rsid w:val="00C53087"/>
    <w:rsid w:val="00C54285"/>
    <w:rsid w:val="00C54C3A"/>
    <w:rsid w:val="00C54C9C"/>
    <w:rsid w:val="00C550A8"/>
    <w:rsid w:val="00C55334"/>
    <w:rsid w:val="00C55407"/>
    <w:rsid w:val="00C55C2D"/>
    <w:rsid w:val="00C55C30"/>
    <w:rsid w:val="00C56175"/>
    <w:rsid w:val="00C568B6"/>
    <w:rsid w:val="00C61B65"/>
    <w:rsid w:val="00C6296E"/>
    <w:rsid w:val="00C629E5"/>
    <w:rsid w:val="00C6358F"/>
    <w:rsid w:val="00C635FE"/>
    <w:rsid w:val="00C6376E"/>
    <w:rsid w:val="00C639A9"/>
    <w:rsid w:val="00C63B89"/>
    <w:rsid w:val="00C63EE8"/>
    <w:rsid w:val="00C6484F"/>
    <w:rsid w:val="00C64C90"/>
    <w:rsid w:val="00C65182"/>
    <w:rsid w:val="00C65CCD"/>
    <w:rsid w:val="00C65DC1"/>
    <w:rsid w:val="00C65EC9"/>
    <w:rsid w:val="00C668CB"/>
    <w:rsid w:val="00C669E4"/>
    <w:rsid w:val="00C6748E"/>
    <w:rsid w:val="00C67741"/>
    <w:rsid w:val="00C67B95"/>
    <w:rsid w:val="00C708F5"/>
    <w:rsid w:val="00C70AD9"/>
    <w:rsid w:val="00C71190"/>
    <w:rsid w:val="00C735A5"/>
    <w:rsid w:val="00C736A3"/>
    <w:rsid w:val="00C7385D"/>
    <w:rsid w:val="00C73BC6"/>
    <w:rsid w:val="00C740FD"/>
    <w:rsid w:val="00C74BB4"/>
    <w:rsid w:val="00C74DB2"/>
    <w:rsid w:val="00C75381"/>
    <w:rsid w:val="00C7543B"/>
    <w:rsid w:val="00C7627B"/>
    <w:rsid w:val="00C76CD1"/>
    <w:rsid w:val="00C77354"/>
    <w:rsid w:val="00C77682"/>
    <w:rsid w:val="00C77D69"/>
    <w:rsid w:val="00C80344"/>
    <w:rsid w:val="00C81146"/>
    <w:rsid w:val="00C81687"/>
    <w:rsid w:val="00C81B36"/>
    <w:rsid w:val="00C81E3A"/>
    <w:rsid w:val="00C81F36"/>
    <w:rsid w:val="00C81FC1"/>
    <w:rsid w:val="00C8262A"/>
    <w:rsid w:val="00C82E38"/>
    <w:rsid w:val="00C8328F"/>
    <w:rsid w:val="00C83311"/>
    <w:rsid w:val="00C83A6E"/>
    <w:rsid w:val="00C84A1D"/>
    <w:rsid w:val="00C84D7E"/>
    <w:rsid w:val="00C8553A"/>
    <w:rsid w:val="00C85A2A"/>
    <w:rsid w:val="00C85B7E"/>
    <w:rsid w:val="00C86309"/>
    <w:rsid w:val="00C86CAF"/>
    <w:rsid w:val="00C87309"/>
    <w:rsid w:val="00C8731B"/>
    <w:rsid w:val="00C874E6"/>
    <w:rsid w:val="00C87ABE"/>
    <w:rsid w:val="00C90571"/>
    <w:rsid w:val="00C90A71"/>
    <w:rsid w:val="00C90B94"/>
    <w:rsid w:val="00C90C98"/>
    <w:rsid w:val="00C90D84"/>
    <w:rsid w:val="00C90DB2"/>
    <w:rsid w:val="00C91789"/>
    <w:rsid w:val="00C922A9"/>
    <w:rsid w:val="00C928DC"/>
    <w:rsid w:val="00C928EE"/>
    <w:rsid w:val="00C92C4B"/>
    <w:rsid w:val="00C93110"/>
    <w:rsid w:val="00C93B5D"/>
    <w:rsid w:val="00C94289"/>
    <w:rsid w:val="00C944F5"/>
    <w:rsid w:val="00C94856"/>
    <w:rsid w:val="00C948CE"/>
    <w:rsid w:val="00C94E63"/>
    <w:rsid w:val="00C9557B"/>
    <w:rsid w:val="00C964FA"/>
    <w:rsid w:val="00C96820"/>
    <w:rsid w:val="00C97B2C"/>
    <w:rsid w:val="00C97D70"/>
    <w:rsid w:val="00CA0719"/>
    <w:rsid w:val="00CA0A15"/>
    <w:rsid w:val="00CA0E92"/>
    <w:rsid w:val="00CA123A"/>
    <w:rsid w:val="00CA1ECD"/>
    <w:rsid w:val="00CA1F13"/>
    <w:rsid w:val="00CA226A"/>
    <w:rsid w:val="00CA22B4"/>
    <w:rsid w:val="00CA237B"/>
    <w:rsid w:val="00CA2809"/>
    <w:rsid w:val="00CA3767"/>
    <w:rsid w:val="00CA3BBF"/>
    <w:rsid w:val="00CA45F0"/>
    <w:rsid w:val="00CA46C1"/>
    <w:rsid w:val="00CA5485"/>
    <w:rsid w:val="00CA5CB2"/>
    <w:rsid w:val="00CA61E9"/>
    <w:rsid w:val="00CA62B2"/>
    <w:rsid w:val="00CA664E"/>
    <w:rsid w:val="00CA7322"/>
    <w:rsid w:val="00CA74FF"/>
    <w:rsid w:val="00CB0FD9"/>
    <w:rsid w:val="00CB1090"/>
    <w:rsid w:val="00CB11D0"/>
    <w:rsid w:val="00CB1918"/>
    <w:rsid w:val="00CB28E4"/>
    <w:rsid w:val="00CB30B4"/>
    <w:rsid w:val="00CB315E"/>
    <w:rsid w:val="00CB40D3"/>
    <w:rsid w:val="00CB4451"/>
    <w:rsid w:val="00CB4D1D"/>
    <w:rsid w:val="00CB51B4"/>
    <w:rsid w:val="00CB62E8"/>
    <w:rsid w:val="00CB6D7D"/>
    <w:rsid w:val="00CB70A3"/>
    <w:rsid w:val="00CB7AAC"/>
    <w:rsid w:val="00CC08F0"/>
    <w:rsid w:val="00CC1211"/>
    <w:rsid w:val="00CC14B8"/>
    <w:rsid w:val="00CC18AB"/>
    <w:rsid w:val="00CC26C3"/>
    <w:rsid w:val="00CC289F"/>
    <w:rsid w:val="00CC2F1F"/>
    <w:rsid w:val="00CC3D19"/>
    <w:rsid w:val="00CC3F4F"/>
    <w:rsid w:val="00CC49BB"/>
    <w:rsid w:val="00CC4E94"/>
    <w:rsid w:val="00CC50B8"/>
    <w:rsid w:val="00CC7E3D"/>
    <w:rsid w:val="00CC7E92"/>
    <w:rsid w:val="00CD0206"/>
    <w:rsid w:val="00CD02A5"/>
    <w:rsid w:val="00CD0488"/>
    <w:rsid w:val="00CD073D"/>
    <w:rsid w:val="00CD19D6"/>
    <w:rsid w:val="00CD1EE5"/>
    <w:rsid w:val="00CD3371"/>
    <w:rsid w:val="00CD397A"/>
    <w:rsid w:val="00CD40F9"/>
    <w:rsid w:val="00CD4494"/>
    <w:rsid w:val="00CD4622"/>
    <w:rsid w:val="00CD491F"/>
    <w:rsid w:val="00CD590D"/>
    <w:rsid w:val="00CD5AED"/>
    <w:rsid w:val="00CD5F32"/>
    <w:rsid w:val="00CD6507"/>
    <w:rsid w:val="00CD656D"/>
    <w:rsid w:val="00CD6BED"/>
    <w:rsid w:val="00CD7073"/>
    <w:rsid w:val="00CD730B"/>
    <w:rsid w:val="00CD7AC4"/>
    <w:rsid w:val="00CD7B89"/>
    <w:rsid w:val="00CD7BB4"/>
    <w:rsid w:val="00CD7F75"/>
    <w:rsid w:val="00CE01A1"/>
    <w:rsid w:val="00CE043F"/>
    <w:rsid w:val="00CE07EC"/>
    <w:rsid w:val="00CE0F85"/>
    <w:rsid w:val="00CE290D"/>
    <w:rsid w:val="00CE2B75"/>
    <w:rsid w:val="00CE2BBE"/>
    <w:rsid w:val="00CE2CA0"/>
    <w:rsid w:val="00CE3BAD"/>
    <w:rsid w:val="00CE3EF7"/>
    <w:rsid w:val="00CE51AF"/>
    <w:rsid w:val="00CE5511"/>
    <w:rsid w:val="00CE688A"/>
    <w:rsid w:val="00CE71F1"/>
    <w:rsid w:val="00CE72BC"/>
    <w:rsid w:val="00CE73B3"/>
    <w:rsid w:val="00CF058D"/>
    <w:rsid w:val="00CF0BFF"/>
    <w:rsid w:val="00CF0E7A"/>
    <w:rsid w:val="00CF21F2"/>
    <w:rsid w:val="00CF2641"/>
    <w:rsid w:val="00CF3BD3"/>
    <w:rsid w:val="00CF3EB3"/>
    <w:rsid w:val="00CF4027"/>
    <w:rsid w:val="00CF45C4"/>
    <w:rsid w:val="00CF4867"/>
    <w:rsid w:val="00CF4922"/>
    <w:rsid w:val="00CF515A"/>
    <w:rsid w:val="00CF5385"/>
    <w:rsid w:val="00CF5C10"/>
    <w:rsid w:val="00CF6935"/>
    <w:rsid w:val="00CF6D35"/>
    <w:rsid w:val="00CF735F"/>
    <w:rsid w:val="00CF7485"/>
    <w:rsid w:val="00CF753F"/>
    <w:rsid w:val="00CF7695"/>
    <w:rsid w:val="00CF79E2"/>
    <w:rsid w:val="00CF7E7F"/>
    <w:rsid w:val="00D0068B"/>
    <w:rsid w:val="00D00B4D"/>
    <w:rsid w:val="00D00DB5"/>
    <w:rsid w:val="00D00F8B"/>
    <w:rsid w:val="00D01179"/>
    <w:rsid w:val="00D011DF"/>
    <w:rsid w:val="00D016C4"/>
    <w:rsid w:val="00D02786"/>
    <w:rsid w:val="00D028CF"/>
    <w:rsid w:val="00D02C1A"/>
    <w:rsid w:val="00D0381B"/>
    <w:rsid w:val="00D042BD"/>
    <w:rsid w:val="00D04310"/>
    <w:rsid w:val="00D046F6"/>
    <w:rsid w:val="00D04C95"/>
    <w:rsid w:val="00D050BE"/>
    <w:rsid w:val="00D05F5E"/>
    <w:rsid w:val="00D06787"/>
    <w:rsid w:val="00D06B5B"/>
    <w:rsid w:val="00D071C8"/>
    <w:rsid w:val="00D0780D"/>
    <w:rsid w:val="00D07DB1"/>
    <w:rsid w:val="00D07E55"/>
    <w:rsid w:val="00D10242"/>
    <w:rsid w:val="00D1066C"/>
    <w:rsid w:val="00D10A2B"/>
    <w:rsid w:val="00D11546"/>
    <w:rsid w:val="00D121B4"/>
    <w:rsid w:val="00D125F2"/>
    <w:rsid w:val="00D12712"/>
    <w:rsid w:val="00D12DA4"/>
    <w:rsid w:val="00D12F9D"/>
    <w:rsid w:val="00D12FDC"/>
    <w:rsid w:val="00D1363C"/>
    <w:rsid w:val="00D13EF7"/>
    <w:rsid w:val="00D1505C"/>
    <w:rsid w:val="00D157DD"/>
    <w:rsid w:val="00D158B9"/>
    <w:rsid w:val="00D162E0"/>
    <w:rsid w:val="00D16827"/>
    <w:rsid w:val="00D16E96"/>
    <w:rsid w:val="00D17789"/>
    <w:rsid w:val="00D177F5"/>
    <w:rsid w:val="00D17969"/>
    <w:rsid w:val="00D20372"/>
    <w:rsid w:val="00D2039B"/>
    <w:rsid w:val="00D20754"/>
    <w:rsid w:val="00D2126F"/>
    <w:rsid w:val="00D21504"/>
    <w:rsid w:val="00D216BF"/>
    <w:rsid w:val="00D21802"/>
    <w:rsid w:val="00D22AA9"/>
    <w:rsid w:val="00D22C2C"/>
    <w:rsid w:val="00D22DE6"/>
    <w:rsid w:val="00D238A2"/>
    <w:rsid w:val="00D23914"/>
    <w:rsid w:val="00D23A8D"/>
    <w:rsid w:val="00D23CE7"/>
    <w:rsid w:val="00D242E7"/>
    <w:rsid w:val="00D24720"/>
    <w:rsid w:val="00D24ECA"/>
    <w:rsid w:val="00D25788"/>
    <w:rsid w:val="00D25B45"/>
    <w:rsid w:val="00D26168"/>
    <w:rsid w:val="00D264DB"/>
    <w:rsid w:val="00D26BA7"/>
    <w:rsid w:val="00D26D7E"/>
    <w:rsid w:val="00D273B5"/>
    <w:rsid w:val="00D2787C"/>
    <w:rsid w:val="00D27B34"/>
    <w:rsid w:val="00D30913"/>
    <w:rsid w:val="00D30B14"/>
    <w:rsid w:val="00D31276"/>
    <w:rsid w:val="00D31914"/>
    <w:rsid w:val="00D32081"/>
    <w:rsid w:val="00D33060"/>
    <w:rsid w:val="00D332D8"/>
    <w:rsid w:val="00D33DF6"/>
    <w:rsid w:val="00D33EC1"/>
    <w:rsid w:val="00D34556"/>
    <w:rsid w:val="00D34577"/>
    <w:rsid w:val="00D3483B"/>
    <w:rsid w:val="00D348C7"/>
    <w:rsid w:val="00D34A22"/>
    <w:rsid w:val="00D34B7F"/>
    <w:rsid w:val="00D34F11"/>
    <w:rsid w:val="00D3544B"/>
    <w:rsid w:val="00D35651"/>
    <w:rsid w:val="00D3584E"/>
    <w:rsid w:val="00D36990"/>
    <w:rsid w:val="00D36C13"/>
    <w:rsid w:val="00D36D71"/>
    <w:rsid w:val="00D374B1"/>
    <w:rsid w:val="00D37C47"/>
    <w:rsid w:val="00D40006"/>
    <w:rsid w:val="00D404C6"/>
    <w:rsid w:val="00D415C7"/>
    <w:rsid w:val="00D424A4"/>
    <w:rsid w:val="00D426E9"/>
    <w:rsid w:val="00D43B54"/>
    <w:rsid w:val="00D44961"/>
    <w:rsid w:val="00D4496C"/>
    <w:rsid w:val="00D44AB2"/>
    <w:rsid w:val="00D45A3F"/>
    <w:rsid w:val="00D45A6F"/>
    <w:rsid w:val="00D45C53"/>
    <w:rsid w:val="00D4673F"/>
    <w:rsid w:val="00D46D30"/>
    <w:rsid w:val="00D47580"/>
    <w:rsid w:val="00D47645"/>
    <w:rsid w:val="00D50799"/>
    <w:rsid w:val="00D50DE9"/>
    <w:rsid w:val="00D51726"/>
    <w:rsid w:val="00D51783"/>
    <w:rsid w:val="00D51ABD"/>
    <w:rsid w:val="00D51C93"/>
    <w:rsid w:val="00D52490"/>
    <w:rsid w:val="00D5291B"/>
    <w:rsid w:val="00D52F11"/>
    <w:rsid w:val="00D5360A"/>
    <w:rsid w:val="00D5406D"/>
    <w:rsid w:val="00D5472E"/>
    <w:rsid w:val="00D5562E"/>
    <w:rsid w:val="00D56DA1"/>
    <w:rsid w:val="00D572CA"/>
    <w:rsid w:val="00D5793B"/>
    <w:rsid w:val="00D60269"/>
    <w:rsid w:val="00D605DB"/>
    <w:rsid w:val="00D60E0A"/>
    <w:rsid w:val="00D60F62"/>
    <w:rsid w:val="00D61F8B"/>
    <w:rsid w:val="00D62A3E"/>
    <w:rsid w:val="00D62B99"/>
    <w:rsid w:val="00D63C76"/>
    <w:rsid w:val="00D6470C"/>
    <w:rsid w:val="00D64E83"/>
    <w:rsid w:val="00D66968"/>
    <w:rsid w:val="00D6744E"/>
    <w:rsid w:val="00D67D04"/>
    <w:rsid w:val="00D67F4A"/>
    <w:rsid w:val="00D70281"/>
    <w:rsid w:val="00D705A4"/>
    <w:rsid w:val="00D706AC"/>
    <w:rsid w:val="00D70847"/>
    <w:rsid w:val="00D70A33"/>
    <w:rsid w:val="00D70D94"/>
    <w:rsid w:val="00D7119D"/>
    <w:rsid w:val="00D71AFA"/>
    <w:rsid w:val="00D71F4B"/>
    <w:rsid w:val="00D72240"/>
    <w:rsid w:val="00D72747"/>
    <w:rsid w:val="00D72E76"/>
    <w:rsid w:val="00D731DF"/>
    <w:rsid w:val="00D73286"/>
    <w:rsid w:val="00D7331F"/>
    <w:rsid w:val="00D73468"/>
    <w:rsid w:val="00D74176"/>
    <w:rsid w:val="00D741D9"/>
    <w:rsid w:val="00D74378"/>
    <w:rsid w:val="00D74823"/>
    <w:rsid w:val="00D74869"/>
    <w:rsid w:val="00D74949"/>
    <w:rsid w:val="00D75C8D"/>
    <w:rsid w:val="00D75CC9"/>
    <w:rsid w:val="00D75D71"/>
    <w:rsid w:val="00D75D89"/>
    <w:rsid w:val="00D75E95"/>
    <w:rsid w:val="00D80267"/>
    <w:rsid w:val="00D8055F"/>
    <w:rsid w:val="00D8087C"/>
    <w:rsid w:val="00D823AC"/>
    <w:rsid w:val="00D82791"/>
    <w:rsid w:val="00D842EE"/>
    <w:rsid w:val="00D84451"/>
    <w:rsid w:val="00D844A3"/>
    <w:rsid w:val="00D84794"/>
    <w:rsid w:val="00D848EA"/>
    <w:rsid w:val="00D84D8E"/>
    <w:rsid w:val="00D84DEF"/>
    <w:rsid w:val="00D856F4"/>
    <w:rsid w:val="00D86790"/>
    <w:rsid w:val="00D86955"/>
    <w:rsid w:val="00D87020"/>
    <w:rsid w:val="00D87467"/>
    <w:rsid w:val="00D87C52"/>
    <w:rsid w:val="00D90946"/>
    <w:rsid w:val="00D92113"/>
    <w:rsid w:val="00D925B9"/>
    <w:rsid w:val="00D92CC3"/>
    <w:rsid w:val="00D93290"/>
    <w:rsid w:val="00D943D5"/>
    <w:rsid w:val="00D9544A"/>
    <w:rsid w:val="00D961E9"/>
    <w:rsid w:val="00D969E0"/>
    <w:rsid w:val="00D9729E"/>
    <w:rsid w:val="00D9742B"/>
    <w:rsid w:val="00D97A56"/>
    <w:rsid w:val="00D97B91"/>
    <w:rsid w:val="00D97C20"/>
    <w:rsid w:val="00DA0E31"/>
    <w:rsid w:val="00DA1D7C"/>
    <w:rsid w:val="00DA29F9"/>
    <w:rsid w:val="00DA2E37"/>
    <w:rsid w:val="00DA3797"/>
    <w:rsid w:val="00DA3C6A"/>
    <w:rsid w:val="00DA40D9"/>
    <w:rsid w:val="00DA4990"/>
    <w:rsid w:val="00DA4D79"/>
    <w:rsid w:val="00DA5168"/>
    <w:rsid w:val="00DA5200"/>
    <w:rsid w:val="00DA5CC1"/>
    <w:rsid w:val="00DA7356"/>
    <w:rsid w:val="00DA750C"/>
    <w:rsid w:val="00DA7559"/>
    <w:rsid w:val="00DB0805"/>
    <w:rsid w:val="00DB0852"/>
    <w:rsid w:val="00DB0D64"/>
    <w:rsid w:val="00DB0FE6"/>
    <w:rsid w:val="00DB11F7"/>
    <w:rsid w:val="00DB19C6"/>
    <w:rsid w:val="00DB1A53"/>
    <w:rsid w:val="00DB1E31"/>
    <w:rsid w:val="00DB2107"/>
    <w:rsid w:val="00DB2190"/>
    <w:rsid w:val="00DB240B"/>
    <w:rsid w:val="00DB252F"/>
    <w:rsid w:val="00DB2CA0"/>
    <w:rsid w:val="00DB3B6C"/>
    <w:rsid w:val="00DB4832"/>
    <w:rsid w:val="00DB48D5"/>
    <w:rsid w:val="00DB500D"/>
    <w:rsid w:val="00DB6475"/>
    <w:rsid w:val="00DB7519"/>
    <w:rsid w:val="00DB7E0A"/>
    <w:rsid w:val="00DC011E"/>
    <w:rsid w:val="00DC0193"/>
    <w:rsid w:val="00DC09B6"/>
    <w:rsid w:val="00DC0CB7"/>
    <w:rsid w:val="00DC11E3"/>
    <w:rsid w:val="00DC1217"/>
    <w:rsid w:val="00DC122F"/>
    <w:rsid w:val="00DC1798"/>
    <w:rsid w:val="00DC1A9A"/>
    <w:rsid w:val="00DC1E12"/>
    <w:rsid w:val="00DC324A"/>
    <w:rsid w:val="00DC3792"/>
    <w:rsid w:val="00DC3DDF"/>
    <w:rsid w:val="00DC3F13"/>
    <w:rsid w:val="00DC4484"/>
    <w:rsid w:val="00DC46A1"/>
    <w:rsid w:val="00DC4AD3"/>
    <w:rsid w:val="00DC56E0"/>
    <w:rsid w:val="00DC5878"/>
    <w:rsid w:val="00DC724E"/>
    <w:rsid w:val="00DC79E5"/>
    <w:rsid w:val="00DD01A0"/>
    <w:rsid w:val="00DD0354"/>
    <w:rsid w:val="00DD0BCC"/>
    <w:rsid w:val="00DD0E84"/>
    <w:rsid w:val="00DD1B22"/>
    <w:rsid w:val="00DD1F2F"/>
    <w:rsid w:val="00DD267E"/>
    <w:rsid w:val="00DD282E"/>
    <w:rsid w:val="00DD35B8"/>
    <w:rsid w:val="00DD4EA3"/>
    <w:rsid w:val="00DD5385"/>
    <w:rsid w:val="00DD660F"/>
    <w:rsid w:val="00DD66E7"/>
    <w:rsid w:val="00DD6896"/>
    <w:rsid w:val="00DD72AE"/>
    <w:rsid w:val="00DD75AE"/>
    <w:rsid w:val="00DD7EDF"/>
    <w:rsid w:val="00DE02E6"/>
    <w:rsid w:val="00DE0DFB"/>
    <w:rsid w:val="00DE1A61"/>
    <w:rsid w:val="00DE27BC"/>
    <w:rsid w:val="00DE3B85"/>
    <w:rsid w:val="00DE50C4"/>
    <w:rsid w:val="00DE5431"/>
    <w:rsid w:val="00DE569D"/>
    <w:rsid w:val="00DE5F18"/>
    <w:rsid w:val="00DE62DB"/>
    <w:rsid w:val="00DE65A5"/>
    <w:rsid w:val="00DE6C4B"/>
    <w:rsid w:val="00DE72AD"/>
    <w:rsid w:val="00DE77F3"/>
    <w:rsid w:val="00DE7B40"/>
    <w:rsid w:val="00DE7EEC"/>
    <w:rsid w:val="00DE7EFD"/>
    <w:rsid w:val="00DF0429"/>
    <w:rsid w:val="00DF0922"/>
    <w:rsid w:val="00DF28F6"/>
    <w:rsid w:val="00DF2D4E"/>
    <w:rsid w:val="00DF2D6A"/>
    <w:rsid w:val="00DF35F0"/>
    <w:rsid w:val="00DF377C"/>
    <w:rsid w:val="00DF3FFA"/>
    <w:rsid w:val="00DF402A"/>
    <w:rsid w:val="00DF5786"/>
    <w:rsid w:val="00DF6D1D"/>
    <w:rsid w:val="00DF7627"/>
    <w:rsid w:val="00E0105F"/>
    <w:rsid w:val="00E01857"/>
    <w:rsid w:val="00E01A74"/>
    <w:rsid w:val="00E01B0F"/>
    <w:rsid w:val="00E020C1"/>
    <w:rsid w:val="00E0289B"/>
    <w:rsid w:val="00E0289D"/>
    <w:rsid w:val="00E02F84"/>
    <w:rsid w:val="00E03071"/>
    <w:rsid w:val="00E04BB7"/>
    <w:rsid w:val="00E04E96"/>
    <w:rsid w:val="00E06D14"/>
    <w:rsid w:val="00E1010F"/>
    <w:rsid w:val="00E103F3"/>
    <w:rsid w:val="00E104D3"/>
    <w:rsid w:val="00E1061B"/>
    <w:rsid w:val="00E108BC"/>
    <w:rsid w:val="00E10D5B"/>
    <w:rsid w:val="00E1275B"/>
    <w:rsid w:val="00E12D36"/>
    <w:rsid w:val="00E1329D"/>
    <w:rsid w:val="00E13428"/>
    <w:rsid w:val="00E137A8"/>
    <w:rsid w:val="00E13A47"/>
    <w:rsid w:val="00E14013"/>
    <w:rsid w:val="00E14075"/>
    <w:rsid w:val="00E141C1"/>
    <w:rsid w:val="00E1426D"/>
    <w:rsid w:val="00E15A77"/>
    <w:rsid w:val="00E16409"/>
    <w:rsid w:val="00E167D4"/>
    <w:rsid w:val="00E16D1D"/>
    <w:rsid w:val="00E16D29"/>
    <w:rsid w:val="00E173A9"/>
    <w:rsid w:val="00E2025A"/>
    <w:rsid w:val="00E203EA"/>
    <w:rsid w:val="00E212C4"/>
    <w:rsid w:val="00E212DB"/>
    <w:rsid w:val="00E21B47"/>
    <w:rsid w:val="00E21E3F"/>
    <w:rsid w:val="00E23418"/>
    <w:rsid w:val="00E239B1"/>
    <w:rsid w:val="00E245DD"/>
    <w:rsid w:val="00E24960"/>
    <w:rsid w:val="00E2635B"/>
    <w:rsid w:val="00E27195"/>
    <w:rsid w:val="00E276AF"/>
    <w:rsid w:val="00E276DD"/>
    <w:rsid w:val="00E27793"/>
    <w:rsid w:val="00E2794E"/>
    <w:rsid w:val="00E27995"/>
    <w:rsid w:val="00E27E6E"/>
    <w:rsid w:val="00E27EBA"/>
    <w:rsid w:val="00E30B02"/>
    <w:rsid w:val="00E30D29"/>
    <w:rsid w:val="00E30E30"/>
    <w:rsid w:val="00E3103D"/>
    <w:rsid w:val="00E310F1"/>
    <w:rsid w:val="00E315E4"/>
    <w:rsid w:val="00E317FD"/>
    <w:rsid w:val="00E31FA1"/>
    <w:rsid w:val="00E33023"/>
    <w:rsid w:val="00E3435E"/>
    <w:rsid w:val="00E343AF"/>
    <w:rsid w:val="00E34BFE"/>
    <w:rsid w:val="00E35BC3"/>
    <w:rsid w:val="00E36A60"/>
    <w:rsid w:val="00E37287"/>
    <w:rsid w:val="00E40503"/>
    <w:rsid w:val="00E409A6"/>
    <w:rsid w:val="00E41B91"/>
    <w:rsid w:val="00E42128"/>
    <w:rsid w:val="00E427EB"/>
    <w:rsid w:val="00E43028"/>
    <w:rsid w:val="00E432C2"/>
    <w:rsid w:val="00E43B27"/>
    <w:rsid w:val="00E43B54"/>
    <w:rsid w:val="00E45014"/>
    <w:rsid w:val="00E4515F"/>
    <w:rsid w:val="00E451A3"/>
    <w:rsid w:val="00E45404"/>
    <w:rsid w:val="00E45D70"/>
    <w:rsid w:val="00E4666E"/>
    <w:rsid w:val="00E46CB2"/>
    <w:rsid w:val="00E47187"/>
    <w:rsid w:val="00E50639"/>
    <w:rsid w:val="00E518F1"/>
    <w:rsid w:val="00E52332"/>
    <w:rsid w:val="00E527EF"/>
    <w:rsid w:val="00E53A11"/>
    <w:rsid w:val="00E53CE3"/>
    <w:rsid w:val="00E54008"/>
    <w:rsid w:val="00E54AE3"/>
    <w:rsid w:val="00E55355"/>
    <w:rsid w:val="00E55826"/>
    <w:rsid w:val="00E55881"/>
    <w:rsid w:val="00E569A8"/>
    <w:rsid w:val="00E57684"/>
    <w:rsid w:val="00E61870"/>
    <w:rsid w:val="00E61C42"/>
    <w:rsid w:val="00E62044"/>
    <w:rsid w:val="00E620B2"/>
    <w:rsid w:val="00E6234D"/>
    <w:rsid w:val="00E62639"/>
    <w:rsid w:val="00E62C24"/>
    <w:rsid w:val="00E63AE3"/>
    <w:rsid w:val="00E64D20"/>
    <w:rsid w:val="00E653F7"/>
    <w:rsid w:val="00E66601"/>
    <w:rsid w:val="00E66B42"/>
    <w:rsid w:val="00E70175"/>
    <w:rsid w:val="00E7047D"/>
    <w:rsid w:val="00E704A3"/>
    <w:rsid w:val="00E70873"/>
    <w:rsid w:val="00E709D9"/>
    <w:rsid w:val="00E712FC"/>
    <w:rsid w:val="00E71758"/>
    <w:rsid w:val="00E718B7"/>
    <w:rsid w:val="00E71EAB"/>
    <w:rsid w:val="00E722FC"/>
    <w:rsid w:val="00E72C65"/>
    <w:rsid w:val="00E72CA1"/>
    <w:rsid w:val="00E73BB1"/>
    <w:rsid w:val="00E74B09"/>
    <w:rsid w:val="00E7514A"/>
    <w:rsid w:val="00E75BA5"/>
    <w:rsid w:val="00E764E2"/>
    <w:rsid w:val="00E76636"/>
    <w:rsid w:val="00E76CA0"/>
    <w:rsid w:val="00E775B2"/>
    <w:rsid w:val="00E77736"/>
    <w:rsid w:val="00E77C7A"/>
    <w:rsid w:val="00E80353"/>
    <w:rsid w:val="00E80704"/>
    <w:rsid w:val="00E8072E"/>
    <w:rsid w:val="00E8084C"/>
    <w:rsid w:val="00E808DD"/>
    <w:rsid w:val="00E80AEB"/>
    <w:rsid w:val="00E80CF9"/>
    <w:rsid w:val="00E822F4"/>
    <w:rsid w:val="00E82388"/>
    <w:rsid w:val="00E82DCD"/>
    <w:rsid w:val="00E82EF0"/>
    <w:rsid w:val="00E8386A"/>
    <w:rsid w:val="00E8396D"/>
    <w:rsid w:val="00E847DC"/>
    <w:rsid w:val="00E84994"/>
    <w:rsid w:val="00E84CEF"/>
    <w:rsid w:val="00E85E35"/>
    <w:rsid w:val="00E86008"/>
    <w:rsid w:val="00E8658B"/>
    <w:rsid w:val="00E86832"/>
    <w:rsid w:val="00E87106"/>
    <w:rsid w:val="00E87B46"/>
    <w:rsid w:val="00E90140"/>
    <w:rsid w:val="00E907E0"/>
    <w:rsid w:val="00E90C4C"/>
    <w:rsid w:val="00E9120E"/>
    <w:rsid w:val="00E91CB2"/>
    <w:rsid w:val="00E928D4"/>
    <w:rsid w:val="00E946A2"/>
    <w:rsid w:val="00E9534E"/>
    <w:rsid w:val="00E95699"/>
    <w:rsid w:val="00E957DA"/>
    <w:rsid w:val="00E9587A"/>
    <w:rsid w:val="00E95FD1"/>
    <w:rsid w:val="00E96171"/>
    <w:rsid w:val="00E97697"/>
    <w:rsid w:val="00E97912"/>
    <w:rsid w:val="00EA0CD9"/>
    <w:rsid w:val="00EA1282"/>
    <w:rsid w:val="00EA12B7"/>
    <w:rsid w:val="00EA1880"/>
    <w:rsid w:val="00EA1B75"/>
    <w:rsid w:val="00EA28DD"/>
    <w:rsid w:val="00EA316A"/>
    <w:rsid w:val="00EA3D9E"/>
    <w:rsid w:val="00EA41FE"/>
    <w:rsid w:val="00EA4FEB"/>
    <w:rsid w:val="00EA5146"/>
    <w:rsid w:val="00EA520F"/>
    <w:rsid w:val="00EA55CE"/>
    <w:rsid w:val="00EA5B94"/>
    <w:rsid w:val="00EA6214"/>
    <w:rsid w:val="00EA6340"/>
    <w:rsid w:val="00EA6843"/>
    <w:rsid w:val="00EA6F32"/>
    <w:rsid w:val="00EA73A2"/>
    <w:rsid w:val="00EA75D0"/>
    <w:rsid w:val="00EB0D10"/>
    <w:rsid w:val="00EB0D2D"/>
    <w:rsid w:val="00EB1279"/>
    <w:rsid w:val="00EB228D"/>
    <w:rsid w:val="00EB269A"/>
    <w:rsid w:val="00EB3E40"/>
    <w:rsid w:val="00EB3EC1"/>
    <w:rsid w:val="00EB401C"/>
    <w:rsid w:val="00EB44CC"/>
    <w:rsid w:val="00EB5190"/>
    <w:rsid w:val="00EB6E75"/>
    <w:rsid w:val="00EB7339"/>
    <w:rsid w:val="00EB767C"/>
    <w:rsid w:val="00EC06A7"/>
    <w:rsid w:val="00EC0BAF"/>
    <w:rsid w:val="00EC23C3"/>
    <w:rsid w:val="00EC25CA"/>
    <w:rsid w:val="00EC31E9"/>
    <w:rsid w:val="00EC34F6"/>
    <w:rsid w:val="00EC41F1"/>
    <w:rsid w:val="00EC4CCC"/>
    <w:rsid w:val="00EC4D65"/>
    <w:rsid w:val="00EC4FF6"/>
    <w:rsid w:val="00EC54F0"/>
    <w:rsid w:val="00EC552A"/>
    <w:rsid w:val="00EC584F"/>
    <w:rsid w:val="00EC5DF9"/>
    <w:rsid w:val="00EC63A6"/>
    <w:rsid w:val="00EC6508"/>
    <w:rsid w:val="00EC66C7"/>
    <w:rsid w:val="00EC67AC"/>
    <w:rsid w:val="00EC6D0B"/>
    <w:rsid w:val="00EC7432"/>
    <w:rsid w:val="00EC75D6"/>
    <w:rsid w:val="00ED0620"/>
    <w:rsid w:val="00ED2420"/>
    <w:rsid w:val="00ED3547"/>
    <w:rsid w:val="00ED36ED"/>
    <w:rsid w:val="00ED3711"/>
    <w:rsid w:val="00ED4302"/>
    <w:rsid w:val="00ED67A3"/>
    <w:rsid w:val="00EE0339"/>
    <w:rsid w:val="00EE0692"/>
    <w:rsid w:val="00EE1D8E"/>
    <w:rsid w:val="00EE1F26"/>
    <w:rsid w:val="00EE1F6A"/>
    <w:rsid w:val="00EE2067"/>
    <w:rsid w:val="00EE2725"/>
    <w:rsid w:val="00EE2980"/>
    <w:rsid w:val="00EE2DAE"/>
    <w:rsid w:val="00EE2E13"/>
    <w:rsid w:val="00EE30F1"/>
    <w:rsid w:val="00EE4968"/>
    <w:rsid w:val="00EE54F8"/>
    <w:rsid w:val="00EE570B"/>
    <w:rsid w:val="00EE5FA7"/>
    <w:rsid w:val="00EE61C7"/>
    <w:rsid w:val="00EE633D"/>
    <w:rsid w:val="00EE635B"/>
    <w:rsid w:val="00EE6422"/>
    <w:rsid w:val="00EE6E31"/>
    <w:rsid w:val="00EE6F67"/>
    <w:rsid w:val="00EE75AB"/>
    <w:rsid w:val="00EE7FB3"/>
    <w:rsid w:val="00EF002D"/>
    <w:rsid w:val="00EF0716"/>
    <w:rsid w:val="00EF18EA"/>
    <w:rsid w:val="00EF2337"/>
    <w:rsid w:val="00EF2988"/>
    <w:rsid w:val="00EF3141"/>
    <w:rsid w:val="00EF3B4B"/>
    <w:rsid w:val="00EF3D71"/>
    <w:rsid w:val="00EF46CA"/>
    <w:rsid w:val="00EF48E3"/>
    <w:rsid w:val="00EF5069"/>
    <w:rsid w:val="00EF53AE"/>
    <w:rsid w:val="00EF5BFB"/>
    <w:rsid w:val="00EF66AD"/>
    <w:rsid w:val="00EF6993"/>
    <w:rsid w:val="00EF7937"/>
    <w:rsid w:val="00EF7ED6"/>
    <w:rsid w:val="00EF7F17"/>
    <w:rsid w:val="00F000D7"/>
    <w:rsid w:val="00F004CA"/>
    <w:rsid w:val="00F00521"/>
    <w:rsid w:val="00F00AE2"/>
    <w:rsid w:val="00F018C1"/>
    <w:rsid w:val="00F0233A"/>
    <w:rsid w:val="00F027B4"/>
    <w:rsid w:val="00F03E42"/>
    <w:rsid w:val="00F03EB4"/>
    <w:rsid w:val="00F047C1"/>
    <w:rsid w:val="00F0481D"/>
    <w:rsid w:val="00F0495B"/>
    <w:rsid w:val="00F04BFA"/>
    <w:rsid w:val="00F0563F"/>
    <w:rsid w:val="00F06002"/>
    <w:rsid w:val="00F0642C"/>
    <w:rsid w:val="00F0663F"/>
    <w:rsid w:val="00F06D88"/>
    <w:rsid w:val="00F10D23"/>
    <w:rsid w:val="00F11054"/>
    <w:rsid w:val="00F111CE"/>
    <w:rsid w:val="00F12B35"/>
    <w:rsid w:val="00F12F29"/>
    <w:rsid w:val="00F13509"/>
    <w:rsid w:val="00F135D8"/>
    <w:rsid w:val="00F13F92"/>
    <w:rsid w:val="00F145A2"/>
    <w:rsid w:val="00F14BB3"/>
    <w:rsid w:val="00F14CEE"/>
    <w:rsid w:val="00F15396"/>
    <w:rsid w:val="00F15C14"/>
    <w:rsid w:val="00F160AC"/>
    <w:rsid w:val="00F16930"/>
    <w:rsid w:val="00F16F78"/>
    <w:rsid w:val="00F170C9"/>
    <w:rsid w:val="00F176DC"/>
    <w:rsid w:val="00F17834"/>
    <w:rsid w:val="00F17E47"/>
    <w:rsid w:val="00F20101"/>
    <w:rsid w:val="00F20189"/>
    <w:rsid w:val="00F204E6"/>
    <w:rsid w:val="00F20975"/>
    <w:rsid w:val="00F2115E"/>
    <w:rsid w:val="00F211B9"/>
    <w:rsid w:val="00F214D2"/>
    <w:rsid w:val="00F219E3"/>
    <w:rsid w:val="00F22C36"/>
    <w:rsid w:val="00F2309E"/>
    <w:rsid w:val="00F23BCC"/>
    <w:rsid w:val="00F240A9"/>
    <w:rsid w:val="00F2415E"/>
    <w:rsid w:val="00F243E2"/>
    <w:rsid w:val="00F245ED"/>
    <w:rsid w:val="00F253B1"/>
    <w:rsid w:val="00F25770"/>
    <w:rsid w:val="00F268FA"/>
    <w:rsid w:val="00F273D4"/>
    <w:rsid w:val="00F27A5B"/>
    <w:rsid w:val="00F30204"/>
    <w:rsid w:val="00F306E9"/>
    <w:rsid w:val="00F3141B"/>
    <w:rsid w:val="00F31C2C"/>
    <w:rsid w:val="00F32540"/>
    <w:rsid w:val="00F32B3F"/>
    <w:rsid w:val="00F32BB6"/>
    <w:rsid w:val="00F33D22"/>
    <w:rsid w:val="00F33E00"/>
    <w:rsid w:val="00F33E2E"/>
    <w:rsid w:val="00F344E1"/>
    <w:rsid w:val="00F349F9"/>
    <w:rsid w:val="00F35039"/>
    <w:rsid w:val="00F3562B"/>
    <w:rsid w:val="00F36ABC"/>
    <w:rsid w:val="00F377E7"/>
    <w:rsid w:val="00F379CD"/>
    <w:rsid w:val="00F41174"/>
    <w:rsid w:val="00F4210A"/>
    <w:rsid w:val="00F42123"/>
    <w:rsid w:val="00F42296"/>
    <w:rsid w:val="00F42305"/>
    <w:rsid w:val="00F4281D"/>
    <w:rsid w:val="00F4299E"/>
    <w:rsid w:val="00F42B37"/>
    <w:rsid w:val="00F42BA5"/>
    <w:rsid w:val="00F4349B"/>
    <w:rsid w:val="00F434A3"/>
    <w:rsid w:val="00F434D2"/>
    <w:rsid w:val="00F4408E"/>
    <w:rsid w:val="00F44717"/>
    <w:rsid w:val="00F447D9"/>
    <w:rsid w:val="00F44F45"/>
    <w:rsid w:val="00F4558A"/>
    <w:rsid w:val="00F45A19"/>
    <w:rsid w:val="00F46559"/>
    <w:rsid w:val="00F46A68"/>
    <w:rsid w:val="00F46C59"/>
    <w:rsid w:val="00F4725D"/>
    <w:rsid w:val="00F473FF"/>
    <w:rsid w:val="00F4744E"/>
    <w:rsid w:val="00F47E77"/>
    <w:rsid w:val="00F500AE"/>
    <w:rsid w:val="00F513C4"/>
    <w:rsid w:val="00F51F96"/>
    <w:rsid w:val="00F5209F"/>
    <w:rsid w:val="00F5244B"/>
    <w:rsid w:val="00F54131"/>
    <w:rsid w:val="00F541B7"/>
    <w:rsid w:val="00F54662"/>
    <w:rsid w:val="00F54DAD"/>
    <w:rsid w:val="00F54DBF"/>
    <w:rsid w:val="00F56CFE"/>
    <w:rsid w:val="00F56F1D"/>
    <w:rsid w:val="00F57C9D"/>
    <w:rsid w:val="00F6058E"/>
    <w:rsid w:val="00F60BC4"/>
    <w:rsid w:val="00F60E57"/>
    <w:rsid w:val="00F619CA"/>
    <w:rsid w:val="00F62225"/>
    <w:rsid w:val="00F6223D"/>
    <w:rsid w:val="00F62D58"/>
    <w:rsid w:val="00F62DCA"/>
    <w:rsid w:val="00F62F0A"/>
    <w:rsid w:val="00F63491"/>
    <w:rsid w:val="00F63B7A"/>
    <w:rsid w:val="00F64540"/>
    <w:rsid w:val="00F65079"/>
    <w:rsid w:val="00F6564A"/>
    <w:rsid w:val="00F65C63"/>
    <w:rsid w:val="00F65CCF"/>
    <w:rsid w:val="00F66524"/>
    <w:rsid w:val="00F66A74"/>
    <w:rsid w:val="00F66AB3"/>
    <w:rsid w:val="00F6715A"/>
    <w:rsid w:val="00F673F4"/>
    <w:rsid w:val="00F70A76"/>
    <w:rsid w:val="00F70BDE"/>
    <w:rsid w:val="00F70DF1"/>
    <w:rsid w:val="00F70EAE"/>
    <w:rsid w:val="00F7100A"/>
    <w:rsid w:val="00F714D3"/>
    <w:rsid w:val="00F725DF"/>
    <w:rsid w:val="00F72C91"/>
    <w:rsid w:val="00F7358E"/>
    <w:rsid w:val="00F73890"/>
    <w:rsid w:val="00F73A96"/>
    <w:rsid w:val="00F73AFE"/>
    <w:rsid w:val="00F74015"/>
    <w:rsid w:val="00F747F8"/>
    <w:rsid w:val="00F75247"/>
    <w:rsid w:val="00F75E2F"/>
    <w:rsid w:val="00F75F6E"/>
    <w:rsid w:val="00F771E7"/>
    <w:rsid w:val="00F805B1"/>
    <w:rsid w:val="00F8065E"/>
    <w:rsid w:val="00F80831"/>
    <w:rsid w:val="00F80C44"/>
    <w:rsid w:val="00F83982"/>
    <w:rsid w:val="00F8452B"/>
    <w:rsid w:val="00F84F6D"/>
    <w:rsid w:val="00F86448"/>
    <w:rsid w:val="00F866DE"/>
    <w:rsid w:val="00F86B5A"/>
    <w:rsid w:val="00F8722C"/>
    <w:rsid w:val="00F87649"/>
    <w:rsid w:val="00F87B80"/>
    <w:rsid w:val="00F87CE3"/>
    <w:rsid w:val="00F87D33"/>
    <w:rsid w:val="00F90A4D"/>
    <w:rsid w:val="00F915A3"/>
    <w:rsid w:val="00F91D64"/>
    <w:rsid w:val="00F9239B"/>
    <w:rsid w:val="00F93646"/>
    <w:rsid w:val="00F94B1C"/>
    <w:rsid w:val="00F94D49"/>
    <w:rsid w:val="00F9508D"/>
    <w:rsid w:val="00F96582"/>
    <w:rsid w:val="00F96826"/>
    <w:rsid w:val="00F97075"/>
    <w:rsid w:val="00FA0413"/>
    <w:rsid w:val="00FA17FB"/>
    <w:rsid w:val="00FA191C"/>
    <w:rsid w:val="00FA1A59"/>
    <w:rsid w:val="00FA22FE"/>
    <w:rsid w:val="00FA34A0"/>
    <w:rsid w:val="00FA38E1"/>
    <w:rsid w:val="00FA4322"/>
    <w:rsid w:val="00FA4D0E"/>
    <w:rsid w:val="00FA53C2"/>
    <w:rsid w:val="00FA6B07"/>
    <w:rsid w:val="00FA71B4"/>
    <w:rsid w:val="00FA7625"/>
    <w:rsid w:val="00FA7660"/>
    <w:rsid w:val="00FA7802"/>
    <w:rsid w:val="00FA790A"/>
    <w:rsid w:val="00FB07ED"/>
    <w:rsid w:val="00FB21C1"/>
    <w:rsid w:val="00FB2656"/>
    <w:rsid w:val="00FB2902"/>
    <w:rsid w:val="00FB2ADB"/>
    <w:rsid w:val="00FB313A"/>
    <w:rsid w:val="00FB34CE"/>
    <w:rsid w:val="00FB3678"/>
    <w:rsid w:val="00FB3A5B"/>
    <w:rsid w:val="00FB3D25"/>
    <w:rsid w:val="00FB3D67"/>
    <w:rsid w:val="00FB3DC9"/>
    <w:rsid w:val="00FB3E47"/>
    <w:rsid w:val="00FB4EFA"/>
    <w:rsid w:val="00FB66EF"/>
    <w:rsid w:val="00FB723E"/>
    <w:rsid w:val="00FB72C8"/>
    <w:rsid w:val="00FB77A0"/>
    <w:rsid w:val="00FB7B6D"/>
    <w:rsid w:val="00FB7D36"/>
    <w:rsid w:val="00FB7EEC"/>
    <w:rsid w:val="00FB7FAA"/>
    <w:rsid w:val="00FC0E04"/>
    <w:rsid w:val="00FC1906"/>
    <w:rsid w:val="00FC1E05"/>
    <w:rsid w:val="00FC1FA7"/>
    <w:rsid w:val="00FC33A7"/>
    <w:rsid w:val="00FC4C6A"/>
    <w:rsid w:val="00FC6134"/>
    <w:rsid w:val="00FC61EC"/>
    <w:rsid w:val="00FC6AA6"/>
    <w:rsid w:val="00FC7248"/>
    <w:rsid w:val="00FC7310"/>
    <w:rsid w:val="00FC7B5C"/>
    <w:rsid w:val="00FD0231"/>
    <w:rsid w:val="00FD0785"/>
    <w:rsid w:val="00FD0E41"/>
    <w:rsid w:val="00FD1284"/>
    <w:rsid w:val="00FD1286"/>
    <w:rsid w:val="00FD134A"/>
    <w:rsid w:val="00FD1523"/>
    <w:rsid w:val="00FD1984"/>
    <w:rsid w:val="00FD2FF4"/>
    <w:rsid w:val="00FD363C"/>
    <w:rsid w:val="00FD3909"/>
    <w:rsid w:val="00FD3A0D"/>
    <w:rsid w:val="00FD3BD0"/>
    <w:rsid w:val="00FD4FE4"/>
    <w:rsid w:val="00FD53DB"/>
    <w:rsid w:val="00FD54E9"/>
    <w:rsid w:val="00FD5548"/>
    <w:rsid w:val="00FD56F5"/>
    <w:rsid w:val="00FD589A"/>
    <w:rsid w:val="00FD635C"/>
    <w:rsid w:val="00FD689D"/>
    <w:rsid w:val="00FE0C84"/>
    <w:rsid w:val="00FE0CD7"/>
    <w:rsid w:val="00FE0DC8"/>
    <w:rsid w:val="00FE0E82"/>
    <w:rsid w:val="00FE162D"/>
    <w:rsid w:val="00FE2313"/>
    <w:rsid w:val="00FE2DD8"/>
    <w:rsid w:val="00FE3633"/>
    <w:rsid w:val="00FE3D48"/>
    <w:rsid w:val="00FE44A2"/>
    <w:rsid w:val="00FE4691"/>
    <w:rsid w:val="00FE4792"/>
    <w:rsid w:val="00FE4BE6"/>
    <w:rsid w:val="00FE5855"/>
    <w:rsid w:val="00FE5F00"/>
    <w:rsid w:val="00FE671C"/>
    <w:rsid w:val="00FE7827"/>
    <w:rsid w:val="00FE7C0B"/>
    <w:rsid w:val="00FF02EA"/>
    <w:rsid w:val="00FF10E3"/>
    <w:rsid w:val="00FF146F"/>
    <w:rsid w:val="00FF1C98"/>
    <w:rsid w:val="00FF2E28"/>
    <w:rsid w:val="00FF3B24"/>
    <w:rsid w:val="00FF3CB6"/>
    <w:rsid w:val="00FF444E"/>
    <w:rsid w:val="00FF4EFD"/>
    <w:rsid w:val="00FF4F0D"/>
    <w:rsid w:val="00FF54B9"/>
    <w:rsid w:val="00FF5CDB"/>
    <w:rsid w:val="00FF61F7"/>
    <w:rsid w:val="00FF717A"/>
    <w:rsid w:val="00FF775B"/>
    <w:rsid w:val="00FF7ABE"/>
    <w:rsid w:val="00FF7B61"/>
    <w:rsid w:val="07C8057D"/>
    <w:rsid w:val="082CB4A6"/>
    <w:rsid w:val="0E9AB2BC"/>
    <w:rsid w:val="14F76D60"/>
    <w:rsid w:val="171C287F"/>
    <w:rsid w:val="243107F4"/>
    <w:rsid w:val="405D1AF1"/>
    <w:rsid w:val="43A98D13"/>
    <w:rsid w:val="6E8EE246"/>
    <w:rsid w:val="7DCE1636"/>
    <w:rsid w:val="7FB50D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DF"/>
    <w:rPr>
      <w:rFonts w:eastAsia="Times New Roman"/>
      <w:sz w:val="24"/>
    </w:rPr>
  </w:style>
  <w:style w:type="paragraph" w:styleId="Heading1">
    <w:name w:val="heading 1"/>
    <w:basedOn w:val="Normal"/>
    <w:next w:val="BodyText"/>
    <w:link w:val="Heading1Char"/>
    <w:uiPriority w:val="99"/>
    <w:unhideWhenUsed/>
    <w:qFormat/>
    <w:rsid w:val="008A6731"/>
    <w:pPr>
      <w:keepNext/>
      <w:numPr>
        <w:numId w:val="18"/>
      </w:numPr>
      <w:spacing w:after="240"/>
      <w:jc w:val="center"/>
      <w:outlineLvl w:val="0"/>
    </w:pPr>
    <w:rPr>
      <w:b/>
      <w:caps/>
      <w:color w:val="000000"/>
      <w:kern w:val="28"/>
    </w:rPr>
  </w:style>
  <w:style w:type="paragraph" w:styleId="Heading2">
    <w:name w:val="heading 2"/>
    <w:basedOn w:val="Normal"/>
    <w:next w:val="BodyText"/>
    <w:link w:val="Heading2Char"/>
    <w:uiPriority w:val="99"/>
    <w:unhideWhenUsed/>
    <w:qFormat/>
    <w:rsid w:val="000F02DE"/>
    <w:pPr>
      <w:numPr>
        <w:ilvl w:val="1"/>
        <w:numId w:val="18"/>
      </w:numPr>
      <w:spacing w:after="240"/>
      <w:outlineLvl w:val="1"/>
    </w:pPr>
    <w:rPr>
      <w:color w:val="000000"/>
      <w:u w:val="single"/>
    </w:rPr>
  </w:style>
  <w:style w:type="paragraph" w:styleId="Heading3">
    <w:name w:val="heading 3"/>
    <w:basedOn w:val="Normal"/>
    <w:next w:val="BodyText"/>
    <w:link w:val="Heading3Char"/>
    <w:uiPriority w:val="99"/>
    <w:unhideWhenUsed/>
    <w:qFormat/>
    <w:rsid w:val="008A6731"/>
    <w:pPr>
      <w:numPr>
        <w:ilvl w:val="2"/>
        <w:numId w:val="18"/>
      </w:numPr>
      <w:spacing w:after="240"/>
      <w:outlineLvl w:val="2"/>
    </w:pPr>
    <w:rPr>
      <w:color w:val="000000"/>
    </w:rPr>
  </w:style>
  <w:style w:type="paragraph" w:styleId="Heading4">
    <w:name w:val="heading 4"/>
    <w:basedOn w:val="Normal"/>
    <w:next w:val="BodyText"/>
    <w:link w:val="Heading4Char"/>
    <w:uiPriority w:val="99"/>
    <w:unhideWhenUsed/>
    <w:qFormat/>
    <w:rsid w:val="008A6731"/>
    <w:pPr>
      <w:numPr>
        <w:ilvl w:val="3"/>
        <w:numId w:val="18"/>
      </w:numPr>
      <w:spacing w:after="240"/>
      <w:outlineLvl w:val="3"/>
    </w:pPr>
    <w:rPr>
      <w:color w:val="000000"/>
    </w:rPr>
  </w:style>
  <w:style w:type="paragraph" w:styleId="Heading5">
    <w:name w:val="heading 5"/>
    <w:basedOn w:val="Normal"/>
    <w:next w:val="BodyText"/>
    <w:link w:val="Heading5Char"/>
    <w:uiPriority w:val="99"/>
    <w:unhideWhenUsed/>
    <w:qFormat/>
    <w:rsid w:val="008A6731"/>
    <w:pPr>
      <w:numPr>
        <w:ilvl w:val="4"/>
        <w:numId w:val="18"/>
      </w:numPr>
      <w:spacing w:after="240"/>
      <w:outlineLvl w:val="4"/>
    </w:pPr>
    <w:rPr>
      <w:color w:val="000000"/>
    </w:rPr>
  </w:style>
  <w:style w:type="paragraph" w:styleId="Heading6">
    <w:name w:val="heading 6"/>
    <w:basedOn w:val="Normal"/>
    <w:next w:val="BodyText"/>
    <w:link w:val="Heading6Char"/>
    <w:uiPriority w:val="99"/>
    <w:unhideWhenUsed/>
    <w:qFormat/>
    <w:rsid w:val="008A6731"/>
    <w:pPr>
      <w:numPr>
        <w:ilvl w:val="5"/>
        <w:numId w:val="18"/>
      </w:numPr>
      <w:spacing w:after="240"/>
      <w:outlineLvl w:val="5"/>
    </w:pPr>
    <w:rPr>
      <w:color w:val="000000"/>
    </w:rPr>
  </w:style>
  <w:style w:type="paragraph" w:styleId="Heading7">
    <w:name w:val="heading 7"/>
    <w:basedOn w:val="Normal"/>
    <w:next w:val="BodyText"/>
    <w:link w:val="Heading7Char"/>
    <w:uiPriority w:val="99"/>
    <w:unhideWhenUsed/>
    <w:qFormat/>
    <w:rsid w:val="008A6731"/>
    <w:pPr>
      <w:numPr>
        <w:ilvl w:val="6"/>
        <w:numId w:val="18"/>
      </w:numPr>
      <w:spacing w:after="240"/>
      <w:outlineLvl w:val="6"/>
    </w:pPr>
    <w:rPr>
      <w:color w:val="000000"/>
    </w:rPr>
  </w:style>
  <w:style w:type="paragraph" w:styleId="Heading8">
    <w:name w:val="heading 8"/>
    <w:basedOn w:val="Normal"/>
    <w:next w:val="BodyText"/>
    <w:link w:val="Heading8Char"/>
    <w:uiPriority w:val="99"/>
    <w:unhideWhenUsed/>
    <w:qFormat/>
    <w:rsid w:val="008A6731"/>
    <w:pPr>
      <w:numPr>
        <w:ilvl w:val="7"/>
        <w:numId w:val="18"/>
      </w:numPr>
      <w:spacing w:after="240"/>
      <w:outlineLvl w:val="7"/>
    </w:pPr>
    <w:rPr>
      <w:color w:val="000000"/>
    </w:rPr>
  </w:style>
  <w:style w:type="paragraph" w:styleId="Heading9">
    <w:name w:val="heading 9"/>
    <w:basedOn w:val="Normal"/>
    <w:next w:val="BodyText"/>
    <w:link w:val="Heading9Char"/>
    <w:uiPriority w:val="99"/>
    <w:unhideWhenUsed/>
    <w:qFormat/>
    <w:rsid w:val="008A6731"/>
    <w:pPr>
      <w:numPr>
        <w:ilvl w:val="8"/>
        <w:numId w:val="18"/>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02DE"/>
    <w:rPr>
      <w:rFonts w:eastAsia="Times New Roman"/>
      <w:color w:val="000000"/>
      <w:sz w:val="24"/>
      <w:u w:val="single"/>
    </w:rPr>
  </w:style>
  <w:style w:type="character" w:customStyle="1" w:styleId="Heading1Char">
    <w:name w:val="Heading 1 Char"/>
    <w:basedOn w:val="DefaultParagraphFont"/>
    <w:link w:val="Heading1"/>
    <w:uiPriority w:val="99"/>
    <w:rsid w:val="008A6731"/>
    <w:rPr>
      <w:rFonts w:eastAsia="Times New Roman"/>
      <w:b/>
      <w:caps/>
      <w:color w:val="000000"/>
      <w:kern w:val="28"/>
      <w:sz w:val="24"/>
    </w:rPr>
  </w:style>
  <w:style w:type="character" w:customStyle="1" w:styleId="Heading3Char">
    <w:name w:val="Heading 3 Char"/>
    <w:basedOn w:val="DefaultParagraphFont"/>
    <w:link w:val="Heading3"/>
    <w:uiPriority w:val="99"/>
    <w:rsid w:val="008A6731"/>
    <w:rPr>
      <w:rFonts w:eastAsia="Times New Roman"/>
      <w:color w:val="000000"/>
      <w:sz w:val="24"/>
    </w:rPr>
  </w:style>
  <w:style w:type="character" w:customStyle="1" w:styleId="Heading4Char">
    <w:name w:val="Heading 4 Char"/>
    <w:basedOn w:val="DefaultParagraphFont"/>
    <w:link w:val="Heading4"/>
    <w:uiPriority w:val="99"/>
    <w:rsid w:val="008A6731"/>
    <w:rPr>
      <w:rFonts w:eastAsia="Times New Roman"/>
      <w:color w:val="000000"/>
      <w:sz w:val="24"/>
    </w:rPr>
  </w:style>
  <w:style w:type="character" w:customStyle="1" w:styleId="Heading5Char">
    <w:name w:val="Heading 5 Char"/>
    <w:basedOn w:val="DefaultParagraphFont"/>
    <w:link w:val="Heading5"/>
    <w:uiPriority w:val="99"/>
    <w:rsid w:val="008A6731"/>
    <w:rPr>
      <w:rFonts w:eastAsia="Times New Roman"/>
      <w:color w:val="000000"/>
      <w:sz w:val="24"/>
    </w:rPr>
  </w:style>
  <w:style w:type="character" w:customStyle="1" w:styleId="Heading8Char">
    <w:name w:val="Heading 8 Char"/>
    <w:basedOn w:val="DefaultParagraphFont"/>
    <w:link w:val="Heading8"/>
    <w:uiPriority w:val="99"/>
    <w:rsid w:val="008A6731"/>
    <w:rPr>
      <w:rFonts w:eastAsia="Times New Roman"/>
      <w:color w:val="000000"/>
      <w:sz w:val="24"/>
    </w:rPr>
  </w:style>
  <w:style w:type="paragraph" w:styleId="Header">
    <w:name w:val="header"/>
    <w:basedOn w:val="Normal"/>
    <w:link w:val="HeaderChar"/>
    <w:uiPriority w:val="99"/>
    <w:unhideWhenUsed/>
    <w:qFormat/>
    <w:rsid w:val="008A6731"/>
    <w:pPr>
      <w:tabs>
        <w:tab w:val="center" w:pos="4680"/>
        <w:tab w:val="right" w:pos="9360"/>
      </w:tabs>
    </w:pPr>
  </w:style>
  <w:style w:type="character" w:customStyle="1" w:styleId="HeaderChar">
    <w:name w:val="Header Char"/>
    <w:basedOn w:val="DefaultParagraphFont"/>
    <w:link w:val="Header"/>
    <w:uiPriority w:val="99"/>
    <w:rsid w:val="008A6731"/>
    <w:rPr>
      <w:rFonts w:eastAsia="Times New Roman"/>
      <w:sz w:val="24"/>
    </w:rPr>
  </w:style>
  <w:style w:type="paragraph" w:styleId="Footer">
    <w:name w:val="footer"/>
    <w:basedOn w:val="Normal"/>
    <w:link w:val="FooterChar"/>
    <w:uiPriority w:val="99"/>
    <w:unhideWhenUsed/>
    <w:qFormat/>
    <w:rsid w:val="008A6731"/>
    <w:pPr>
      <w:tabs>
        <w:tab w:val="center" w:pos="4680"/>
        <w:tab w:val="right" w:pos="9360"/>
      </w:tabs>
    </w:pPr>
  </w:style>
  <w:style w:type="character" w:customStyle="1" w:styleId="FooterChar">
    <w:name w:val="Footer Char"/>
    <w:basedOn w:val="DefaultParagraphFont"/>
    <w:link w:val="Footer"/>
    <w:uiPriority w:val="99"/>
    <w:rsid w:val="008A6731"/>
    <w:rPr>
      <w:rFonts w:eastAsia="Times New Roman"/>
      <w:sz w:val="24"/>
    </w:rPr>
  </w:style>
  <w:style w:type="paragraph" w:customStyle="1" w:styleId="CapStorageParaa">
    <w:name w:val="Cap Storage Para (a)"/>
    <w:basedOn w:val="Normal"/>
    <w:next w:val="Normal"/>
    <w:qFormat/>
    <w:rsid w:val="00B52660"/>
    <w:pPr>
      <w:spacing w:after="240"/>
      <w:ind w:firstLine="1440"/>
    </w:pPr>
    <w:rPr>
      <w:rFonts w:eastAsia="Calibri"/>
      <w:szCs w:val="22"/>
    </w:rPr>
  </w:style>
  <w:style w:type="paragraph" w:styleId="BodyText">
    <w:name w:val="Body Text"/>
    <w:basedOn w:val="Normal"/>
    <w:link w:val="BodyTextChar"/>
    <w:unhideWhenUsed/>
    <w:qFormat/>
    <w:rsid w:val="008A6731"/>
    <w:pPr>
      <w:spacing w:after="240"/>
      <w:ind w:firstLine="720"/>
    </w:pPr>
  </w:style>
  <w:style w:type="character" w:customStyle="1" w:styleId="BodyTextChar">
    <w:name w:val="Body Text Char"/>
    <w:basedOn w:val="DefaultParagraphFont"/>
    <w:link w:val="BodyText"/>
    <w:rsid w:val="008A6731"/>
    <w:rPr>
      <w:rFonts w:eastAsia="Times New Roman"/>
      <w:sz w:val="24"/>
    </w:rPr>
  </w:style>
  <w:style w:type="table" w:styleId="TableGrid">
    <w:name w:val="Table Grid"/>
    <w:basedOn w:val="TableNormal"/>
    <w:uiPriority w:val="59"/>
    <w:rsid w:val="008A6731"/>
    <w:rPr>
      <w:rFonts w:asciiTheme="minorHAnsi" w:eastAsia="Times New Roman"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5E6C80"/>
    <w:pPr>
      <w:tabs>
        <w:tab w:val="right" w:leader="dot" w:pos="9360"/>
      </w:tabs>
      <w:spacing w:after="120"/>
      <w:ind w:left="1800" w:right="720" w:hanging="1800"/>
    </w:pPr>
    <w:rPr>
      <w:caps/>
    </w:rPr>
  </w:style>
  <w:style w:type="paragraph" w:styleId="TOC2">
    <w:name w:val="toc 2"/>
    <w:basedOn w:val="Normal"/>
    <w:next w:val="Normal"/>
    <w:autoRedefine/>
    <w:uiPriority w:val="39"/>
    <w:unhideWhenUsed/>
    <w:qFormat/>
    <w:rsid w:val="005E6C80"/>
    <w:pPr>
      <w:tabs>
        <w:tab w:val="right" w:leader="dot" w:pos="9360"/>
      </w:tabs>
      <w:spacing w:after="120"/>
      <w:ind w:left="1080" w:right="720" w:hanging="720"/>
    </w:pPr>
  </w:style>
  <w:style w:type="character" w:styleId="FootnoteReference">
    <w:name w:val="footnote reference"/>
    <w:aliases w:val="fr"/>
    <w:basedOn w:val="DefaultParagraphFont"/>
    <w:uiPriority w:val="99"/>
    <w:unhideWhenUsed/>
    <w:rsid w:val="008A6731"/>
    <w:rPr>
      <w:vertAlign w:val="superscript"/>
    </w:rPr>
  </w:style>
  <w:style w:type="paragraph" w:styleId="FootnoteText">
    <w:name w:val="footnote text"/>
    <w:aliases w:val="Car,ft,fn"/>
    <w:basedOn w:val="Normal"/>
    <w:link w:val="FootnoteTextChar"/>
    <w:unhideWhenUsed/>
    <w:qFormat/>
    <w:rsid w:val="008A6731"/>
    <w:pPr>
      <w:spacing w:before="60"/>
      <w:ind w:left="216" w:hanging="216"/>
    </w:pPr>
    <w:rPr>
      <w:sz w:val="20"/>
    </w:rPr>
  </w:style>
  <w:style w:type="character" w:customStyle="1" w:styleId="FootnoteTextChar">
    <w:name w:val="Footnote Text Char"/>
    <w:aliases w:val="Car Char,ft Char,fn Char"/>
    <w:basedOn w:val="DefaultParagraphFont"/>
    <w:link w:val="FootnoteText"/>
    <w:rsid w:val="008A6731"/>
    <w:rPr>
      <w:rFonts w:eastAsia="Times New Roman"/>
    </w:rPr>
  </w:style>
  <w:style w:type="character" w:styleId="Hyperlink">
    <w:name w:val="Hyperlink"/>
    <w:basedOn w:val="DefaultParagraphFont"/>
    <w:uiPriority w:val="99"/>
    <w:rsid w:val="008A6731"/>
    <w:rPr>
      <w:color w:val="0000FF"/>
      <w:u w:val="single"/>
    </w:rPr>
  </w:style>
  <w:style w:type="paragraph" w:styleId="ListParagraph">
    <w:name w:val="List Paragraph"/>
    <w:basedOn w:val="Normal"/>
    <w:uiPriority w:val="34"/>
    <w:qFormat/>
    <w:rsid w:val="00F5565E"/>
    <w:pPr>
      <w:ind w:left="720"/>
    </w:pPr>
    <w:rPr>
      <w:rFonts w:ascii="Calibri" w:hAnsi="Calibri" w:cs="Calibri"/>
    </w:rPr>
  </w:style>
  <w:style w:type="paragraph" w:styleId="BodyText2">
    <w:name w:val="Body Text 2"/>
    <w:basedOn w:val="BodyText"/>
    <w:link w:val="BodyText2Char"/>
    <w:unhideWhenUsed/>
    <w:rsid w:val="00AB4C5A"/>
    <w:pPr>
      <w:ind w:left="1440" w:hanging="720"/>
    </w:pPr>
  </w:style>
  <w:style w:type="character" w:customStyle="1" w:styleId="BodyText2Char">
    <w:name w:val="Body Text 2 Char"/>
    <w:basedOn w:val="DefaultParagraphFont"/>
    <w:link w:val="BodyText2"/>
    <w:rsid w:val="00AB4C5A"/>
    <w:rPr>
      <w:rFonts w:eastAsia="Times New Roman"/>
      <w:sz w:val="24"/>
    </w:rPr>
  </w:style>
  <w:style w:type="paragraph" w:styleId="NormalWeb">
    <w:name w:val="Normal (Web)"/>
    <w:basedOn w:val="Normal"/>
    <w:uiPriority w:val="99"/>
    <w:unhideWhenUsed/>
    <w:rsid w:val="00DA5CC1"/>
    <w:pPr>
      <w:spacing w:before="100" w:beforeAutospacing="1" w:after="100" w:afterAutospacing="1"/>
    </w:pPr>
    <w:rPr>
      <w:szCs w:val="24"/>
    </w:rPr>
  </w:style>
  <w:style w:type="paragraph" w:customStyle="1" w:styleId="Center">
    <w:name w:val="Center"/>
    <w:basedOn w:val="Normal"/>
    <w:rsid w:val="008A6731"/>
    <w:pPr>
      <w:spacing w:after="240"/>
      <w:jc w:val="center"/>
    </w:pPr>
  </w:style>
  <w:style w:type="paragraph" w:customStyle="1" w:styleId="Appendix">
    <w:name w:val="Appendix"/>
    <w:basedOn w:val="Center"/>
    <w:rsid w:val="008A6731"/>
    <w:pPr>
      <w:outlineLvl w:val="0"/>
    </w:pPr>
    <w:rPr>
      <w:b/>
      <w:bCs/>
      <w:lang w:val="en-CA"/>
    </w:rPr>
  </w:style>
  <w:style w:type="paragraph" w:customStyle="1" w:styleId="BodyTextLeft">
    <w:name w:val="Body Text Left"/>
    <w:basedOn w:val="BodyText"/>
    <w:unhideWhenUsed/>
    <w:rsid w:val="008A6731"/>
    <w:pPr>
      <w:ind w:firstLine="0"/>
    </w:pPr>
  </w:style>
  <w:style w:type="paragraph" w:customStyle="1" w:styleId="BodyTextLeftBold">
    <w:name w:val="Body Text Left Bold"/>
    <w:basedOn w:val="BodyTextLeft"/>
    <w:rsid w:val="008A6731"/>
    <w:rPr>
      <w:b/>
    </w:rPr>
  </w:style>
  <w:style w:type="paragraph" w:styleId="Title">
    <w:name w:val="Title"/>
    <w:basedOn w:val="Normal"/>
    <w:link w:val="TitleChar"/>
    <w:unhideWhenUsed/>
    <w:qFormat/>
    <w:rsid w:val="008A6731"/>
    <w:pPr>
      <w:keepNext/>
      <w:keepLines/>
      <w:spacing w:after="240"/>
      <w:jc w:val="center"/>
      <w:outlineLvl w:val="0"/>
    </w:pPr>
    <w:rPr>
      <w:b/>
      <w:kern w:val="28"/>
    </w:rPr>
  </w:style>
  <w:style w:type="character" w:customStyle="1" w:styleId="TitleChar">
    <w:name w:val="Title Char"/>
    <w:basedOn w:val="DefaultParagraphFont"/>
    <w:link w:val="Title"/>
    <w:rsid w:val="008A6731"/>
    <w:rPr>
      <w:rFonts w:eastAsia="Times New Roman"/>
      <w:b/>
      <w:kern w:val="28"/>
      <w:sz w:val="24"/>
    </w:rPr>
  </w:style>
  <w:style w:type="paragraph" w:customStyle="1" w:styleId="Exhibit">
    <w:name w:val="Exhibit"/>
    <w:basedOn w:val="Title"/>
    <w:rsid w:val="008A6731"/>
    <w:pPr>
      <w:outlineLvl w:val="1"/>
    </w:pPr>
    <w:rPr>
      <w:szCs w:val="24"/>
    </w:rPr>
  </w:style>
  <w:style w:type="character" w:customStyle="1" w:styleId="Heading6Char">
    <w:name w:val="Heading 6 Char"/>
    <w:basedOn w:val="DefaultParagraphFont"/>
    <w:link w:val="Heading6"/>
    <w:uiPriority w:val="99"/>
    <w:rsid w:val="008A6731"/>
    <w:rPr>
      <w:rFonts w:eastAsia="Times New Roman"/>
      <w:color w:val="000000"/>
      <w:sz w:val="24"/>
    </w:rPr>
  </w:style>
  <w:style w:type="character" w:customStyle="1" w:styleId="Heading7Char">
    <w:name w:val="Heading 7 Char"/>
    <w:basedOn w:val="DefaultParagraphFont"/>
    <w:link w:val="Heading7"/>
    <w:uiPriority w:val="99"/>
    <w:rsid w:val="008A6731"/>
    <w:rPr>
      <w:rFonts w:eastAsia="Times New Roman"/>
      <w:color w:val="000000"/>
      <w:sz w:val="24"/>
    </w:rPr>
  </w:style>
  <w:style w:type="character" w:customStyle="1" w:styleId="Heading9Char">
    <w:name w:val="Heading 9 Char"/>
    <w:basedOn w:val="DefaultParagraphFont"/>
    <w:link w:val="Heading9"/>
    <w:uiPriority w:val="99"/>
    <w:rsid w:val="008A6731"/>
    <w:rPr>
      <w:rFonts w:eastAsia="Times New Roman"/>
      <w:color w:val="000000"/>
      <w:sz w:val="24"/>
    </w:rPr>
  </w:style>
  <w:style w:type="paragraph" w:customStyle="1" w:styleId="HeadingBody2">
    <w:name w:val="HeadingBody 2"/>
    <w:basedOn w:val="Normal"/>
    <w:unhideWhenUsed/>
    <w:qFormat/>
    <w:rsid w:val="008A6731"/>
    <w:pPr>
      <w:spacing w:after="240"/>
      <w:ind w:firstLine="720"/>
    </w:pPr>
  </w:style>
  <w:style w:type="paragraph" w:customStyle="1" w:styleId="Heading2Continued">
    <w:name w:val="Heading 2 Continued"/>
    <w:basedOn w:val="Normal"/>
    <w:next w:val="BodyText"/>
    <w:link w:val="Heading2ContinuedChar"/>
    <w:rsid w:val="00727F6E"/>
    <w:pPr>
      <w:spacing w:after="240"/>
      <w:ind w:firstLine="720"/>
    </w:pPr>
    <w:rPr>
      <w:color w:val="000000"/>
    </w:rPr>
  </w:style>
  <w:style w:type="character" w:customStyle="1" w:styleId="Heading2ContinuedChar">
    <w:name w:val="Heading 2 Continued Char"/>
    <w:basedOn w:val="DefaultParagraphFont"/>
    <w:link w:val="Heading2Continued"/>
    <w:rsid w:val="00727F6E"/>
    <w:rPr>
      <w:rFonts w:eastAsia="Times New Roman"/>
      <w:color w:val="000000"/>
      <w:sz w:val="24"/>
    </w:rPr>
  </w:style>
  <w:style w:type="paragraph" w:customStyle="1" w:styleId="HeadingBody4">
    <w:name w:val="HeadingBody 4"/>
    <w:basedOn w:val="HeadingBody2"/>
    <w:qFormat/>
    <w:rsid w:val="00EB269A"/>
    <w:pPr>
      <w:ind w:firstLine="2160"/>
    </w:pPr>
  </w:style>
  <w:style w:type="paragraph" w:customStyle="1" w:styleId="HeadingBody5">
    <w:name w:val="HeadingBody 5"/>
    <w:basedOn w:val="HeadingBody4"/>
    <w:qFormat/>
    <w:rsid w:val="00EB269A"/>
    <w:pPr>
      <w:ind w:firstLine="2880"/>
    </w:pPr>
  </w:style>
  <w:style w:type="paragraph" w:customStyle="1" w:styleId="HeadingBody3">
    <w:name w:val="HeadingBody 3"/>
    <w:basedOn w:val="HeadingBody2"/>
    <w:qFormat/>
    <w:rsid w:val="00E57684"/>
    <w:pPr>
      <w:ind w:firstLine="1350"/>
    </w:pPr>
  </w:style>
  <w:style w:type="numbering" w:customStyle="1" w:styleId="ArticleSection">
    <w:name w:val="ArticleSection"/>
    <w:pPr>
      <w:numPr>
        <w:numId w:val="9"/>
      </w:numPr>
    </w:pPr>
  </w:style>
  <w:style w:type="numbering" w:customStyle="1" w:styleId="111111">
    <w:name w:val="111111"/>
    <w:pPr>
      <w:numPr>
        <w:numId w:val="7"/>
      </w:numPr>
    </w:pPr>
  </w:style>
  <w:style w:type="numbering" w:customStyle="1" w:styleId="1ai">
    <w:name w:val="1ai"/>
    <w:pPr>
      <w:numPr>
        <w:numId w:val="8"/>
      </w:numPr>
    </w:pPr>
  </w:style>
  <w:style w:type="paragraph" w:styleId="TOC3">
    <w:name w:val="toc 3"/>
    <w:basedOn w:val="Normal"/>
    <w:next w:val="Normal"/>
    <w:autoRedefine/>
    <w:uiPriority w:val="39"/>
    <w:unhideWhenUsed/>
    <w:rsid w:val="00A35CA7"/>
    <w:pPr>
      <w:spacing w:after="100" w:line="259"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A35CA7"/>
    <w:pPr>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35CA7"/>
    <w:pPr>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35CA7"/>
    <w:pPr>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35CA7"/>
    <w:pPr>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35CA7"/>
    <w:pPr>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35CA7"/>
    <w:pPr>
      <w:spacing w:after="100" w:line="259" w:lineRule="auto"/>
      <w:ind w:left="1760"/>
    </w:pPr>
    <w:rPr>
      <w:rFonts w:asciiTheme="minorHAnsi" w:eastAsiaTheme="minorEastAsia" w:hAnsiTheme="minorHAnsi" w:cstheme="minorBidi"/>
      <w:sz w:val="22"/>
      <w:szCs w:val="22"/>
      <w:lang w:eastAsia="zh-CN"/>
    </w:rPr>
  </w:style>
  <w:style w:type="character" w:customStyle="1" w:styleId="UnresolvedMention1">
    <w:name w:val="Unresolved Mention1"/>
    <w:basedOn w:val="DefaultParagraphFont"/>
    <w:uiPriority w:val="99"/>
    <w:semiHidden/>
    <w:unhideWhenUsed/>
    <w:rsid w:val="00A35CA7"/>
    <w:rPr>
      <w:color w:val="605E5C"/>
      <w:shd w:val="clear" w:color="auto" w:fill="E1DFDD"/>
    </w:rPr>
  </w:style>
  <w:style w:type="character" w:styleId="CommentReference">
    <w:name w:val="annotation reference"/>
    <w:basedOn w:val="DefaultParagraphFont"/>
    <w:uiPriority w:val="99"/>
    <w:semiHidden/>
    <w:unhideWhenUsed/>
    <w:rsid w:val="00844A6C"/>
    <w:rPr>
      <w:sz w:val="16"/>
      <w:szCs w:val="16"/>
    </w:rPr>
  </w:style>
  <w:style w:type="paragraph" w:styleId="CommentText">
    <w:name w:val="annotation text"/>
    <w:basedOn w:val="Normal"/>
    <w:link w:val="CommentTextChar"/>
    <w:uiPriority w:val="99"/>
    <w:unhideWhenUsed/>
    <w:rsid w:val="004A4D60"/>
    <w:rPr>
      <w:sz w:val="20"/>
    </w:rPr>
  </w:style>
  <w:style w:type="character" w:customStyle="1" w:styleId="CommentTextChar">
    <w:name w:val="Comment Text Char"/>
    <w:basedOn w:val="DefaultParagraphFont"/>
    <w:link w:val="CommentText"/>
    <w:uiPriority w:val="99"/>
    <w:rsid w:val="00844A6C"/>
    <w:rPr>
      <w:rFonts w:eastAsia="Times New Roman"/>
    </w:rPr>
  </w:style>
  <w:style w:type="paragraph" w:styleId="CommentSubject">
    <w:name w:val="annotation subject"/>
    <w:basedOn w:val="CommentText"/>
    <w:next w:val="CommentText"/>
    <w:link w:val="CommentSubjectChar"/>
    <w:uiPriority w:val="99"/>
    <w:semiHidden/>
    <w:unhideWhenUsed/>
    <w:rsid w:val="00844A6C"/>
    <w:rPr>
      <w:b/>
      <w:bCs/>
    </w:rPr>
  </w:style>
  <w:style w:type="character" w:customStyle="1" w:styleId="CommentSubjectChar">
    <w:name w:val="Comment Subject Char"/>
    <w:basedOn w:val="CommentTextChar"/>
    <w:link w:val="CommentSubject"/>
    <w:uiPriority w:val="99"/>
    <w:semiHidden/>
    <w:rsid w:val="00844A6C"/>
    <w:rPr>
      <w:rFonts w:eastAsia="Times New Roman"/>
      <w:b/>
      <w:bCs/>
    </w:rPr>
  </w:style>
  <w:style w:type="character" w:styleId="UnresolvedMention">
    <w:name w:val="Unresolved Mention"/>
    <w:basedOn w:val="DefaultParagraphFont"/>
    <w:uiPriority w:val="99"/>
    <w:semiHidden/>
    <w:unhideWhenUsed/>
    <w:rsid w:val="007171FF"/>
    <w:rPr>
      <w:color w:val="605E5C"/>
      <w:shd w:val="clear" w:color="auto" w:fill="E1DFDD"/>
    </w:rPr>
  </w:style>
  <w:style w:type="paragraph" w:styleId="BalloonText">
    <w:name w:val="Balloon Text"/>
    <w:basedOn w:val="Normal"/>
    <w:link w:val="BalloonTextChar"/>
    <w:uiPriority w:val="99"/>
    <w:semiHidden/>
    <w:unhideWhenUsed/>
    <w:rsid w:val="00826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7C"/>
    <w:rPr>
      <w:rFonts w:ascii="Segoe UI" w:eastAsia="Times New Roman" w:hAnsi="Segoe UI" w:cs="Segoe UI"/>
      <w:sz w:val="18"/>
      <w:szCs w:val="18"/>
    </w:rPr>
  </w:style>
  <w:style w:type="paragraph" w:styleId="TOCHeading">
    <w:name w:val="TOC Heading"/>
    <w:basedOn w:val="Heading1"/>
    <w:next w:val="Normal"/>
    <w:uiPriority w:val="39"/>
    <w:unhideWhenUsed/>
    <w:qFormat/>
    <w:rsid w:val="00D07E55"/>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ListBullet">
    <w:name w:val="List Bullet"/>
    <w:basedOn w:val="Normal"/>
    <w:uiPriority w:val="99"/>
    <w:semiHidden/>
    <w:unhideWhenUsed/>
    <w:rsid w:val="00AC65BF"/>
    <w:pPr>
      <w:tabs>
        <w:tab w:val="num" w:pos="360"/>
      </w:tabs>
      <w:spacing w:after="240"/>
      <w:ind w:left="360" w:hanging="360"/>
      <w:contextualSpacing/>
    </w:pPr>
    <w:rPr>
      <w:rFonts w:eastAsia="Calibri"/>
      <w:szCs w:val="22"/>
    </w:rPr>
  </w:style>
  <w:style w:type="paragraph" w:styleId="Revision">
    <w:name w:val="Revision"/>
    <w:hidden/>
    <w:uiPriority w:val="99"/>
    <w:semiHidden/>
    <w:rsid w:val="005B6417"/>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0122">
      <w:bodyDiv w:val="1"/>
      <w:marLeft w:val="0"/>
      <w:marRight w:val="0"/>
      <w:marTop w:val="0"/>
      <w:marBottom w:val="0"/>
      <w:divBdr>
        <w:top w:val="none" w:sz="0" w:space="0" w:color="auto"/>
        <w:left w:val="none" w:sz="0" w:space="0" w:color="auto"/>
        <w:bottom w:val="none" w:sz="0" w:space="0" w:color="auto"/>
        <w:right w:val="none" w:sz="0" w:space="0" w:color="auto"/>
      </w:divBdr>
    </w:div>
    <w:div w:id="271204063">
      <w:bodyDiv w:val="1"/>
      <w:marLeft w:val="0"/>
      <w:marRight w:val="0"/>
      <w:marTop w:val="0"/>
      <w:marBottom w:val="0"/>
      <w:divBdr>
        <w:top w:val="none" w:sz="0" w:space="0" w:color="auto"/>
        <w:left w:val="none" w:sz="0" w:space="0" w:color="auto"/>
        <w:bottom w:val="none" w:sz="0" w:space="0" w:color="auto"/>
        <w:right w:val="none" w:sz="0" w:space="0" w:color="auto"/>
      </w:divBdr>
    </w:div>
    <w:div w:id="314460248">
      <w:bodyDiv w:val="1"/>
      <w:marLeft w:val="0"/>
      <w:marRight w:val="0"/>
      <w:marTop w:val="0"/>
      <w:marBottom w:val="0"/>
      <w:divBdr>
        <w:top w:val="none" w:sz="0" w:space="0" w:color="auto"/>
        <w:left w:val="none" w:sz="0" w:space="0" w:color="auto"/>
        <w:bottom w:val="none" w:sz="0" w:space="0" w:color="auto"/>
        <w:right w:val="none" w:sz="0" w:space="0" w:color="auto"/>
      </w:divBdr>
    </w:div>
    <w:div w:id="457145157">
      <w:bodyDiv w:val="1"/>
      <w:marLeft w:val="0"/>
      <w:marRight w:val="0"/>
      <w:marTop w:val="0"/>
      <w:marBottom w:val="0"/>
      <w:divBdr>
        <w:top w:val="none" w:sz="0" w:space="0" w:color="auto"/>
        <w:left w:val="none" w:sz="0" w:space="0" w:color="auto"/>
        <w:bottom w:val="none" w:sz="0" w:space="0" w:color="auto"/>
        <w:right w:val="none" w:sz="0" w:space="0" w:color="auto"/>
      </w:divBdr>
    </w:div>
    <w:div w:id="623972902">
      <w:bodyDiv w:val="1"/>
      <w:marLeft w:val="0"/>
      <w:marRight w:val="0"/>
      <w:marTop w:val="0"/>
      <w:marBottom w:val="0"/>
      <w:divBdr>
        <w:top w:val="none" w:sz="0" w:space="0" w:color="auto"/>
        <w:left w:val="none" w:sz="0" w:space="0" w:color="auto"/>
        <w:bottom w:val="none" w:sz="0" w:space="0" w:color="auto"/>
        <w:right w:val="none" w:sz="0" w:space="0" w:color="auto"/>
      </w:divBdr>
    </w:div>
    <w:div w:id="648484318">
      <w:bodyDiv w:val="1"/>
      <w:marLeft w:val="0"/>
      <w:marRight w:val="0"/>
      <w:marTop w:val="0"/>
      <w:marBottom w:val="0"/>
      <w:divBdr>
        <w:top w:val="none" w:sz="0" w:space="0" w:color="auto"/>
        <w:left w:val="none" w:sz="0" w:space="0" w:color="auto"/>
        <w:bottom w:val="none" w:sz="0" w:space="0" w:color="auto"/>
        <w:right w:val="none" w:sz="0" w:space="0" w:color="auto"/>
      </w:divBdr>
    </w:div>
    <w:div w:id="1568760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31.xml"/><Relationship Id="rId68" Type="http://schemas.openxmlformats.org/officeDocument/2006/relationships/footer" Target="footer36.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footer" Target="footer34.xm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footer" Target="footer29.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32.xml"/><Relationship Id="rId69" Type="http://schemas.openxmlformats.org/officeDocument/2006/relationships/footer" Target="footer37.xml"/><Relationship Id="rId77" Type="http://schemas.openxmlformats.org/officeDocument/2006/relationships/customXml" Target="../customXml/item5.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7.xml"/><Relationship Id="rId67" Type="http://schemas.openxmlformats.org/officeDocument/2006/relationships/footer" Target="footer35.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30.xml"/><Relationship Id="rId70" Type="http://schemas.openxmlformats.org/officeDocument/2006/relationships/footer" Target="footer38.xm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8.xml"/><Relationship Id="rId65" Type="http://schemas.openxmlformats.org/officeDocument/2006/relationships/footer" Target="footer3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docs.cpuc.ca.gov/PUBLISHED/GENERAL_ORDER/108114.htm" TargetMode="Externa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oter" Target="footer39.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6c99b3-cd83-43e5-b4c1-d62f316c1e3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A54E7999-B328-42E8-8964-DAE9EB2AF674}">
  <ds:schemaRefs>
    <ds:schemaRef ds:uri="http://schemas.openxmlformats.org/officeDocument/2006/bibliography"/>
  </ds:schemaRefs>
</ds:datastoreItem>
</file>

<file path=customXml/itemProps2.xml><?xml version="1.0" encoding="utf-8"?>
<ds:datastoreItem xmlns:ds="http://schemas.openxmlformats.org/officeDocument/2006/customXml" ds:itemID="{50E4B466-7DF3-4E9E-8F33-28C08B8525C9}"/>
</file>

<file path=customXml/itemProps3.xml><?xml version="1.0" encoding="utf-8"?>
<ds:datastoreItem xmlns:ds="http://schemas.openxmlformats.org/officeDocument/2006/customXml" ds:itemID="{E8F9180E-2175-40B6-87A6-83FAD4B0887E}"/>
</file>

<file path=customXml/itemProps4.xml><?xml version="1.0" encoding="utf-8"?>
<ds:datastoreItem xmlns:ds="http://schemas.openxmlformats.org/officeDocument/2006/customXml" ds:itemID="{455DE1DB-8AE3-4E2B-A229-AC17ECAFA5F1}"/>
</file>

<file path=customXml/itemProps5.xml><?xml version="1.0" encoding="utf-8"?>
<ds:datastoreItem xmlns:ds="http://schemas.openxmlformats.org/officeDocument/2006/customXml" ds:itemID="{D6879E31-BAD6-49AF-88E4-2C37E9FB3AE9}"/>
</file>

<file path=docProps/app.xml><?xml version="1.0" encoding="utf-8"?>
<Properties xmlns="http://schemas.openxmlformats.org/officeDocument/2006/extended-properties" xmlns:vt="http://schemas.openxmlformats.org/officeDocument/2006/docPropsVTypes">
  <Template>Normal.dotm</Template>
  <TotalTime>0</TotalTime>
  <Pages>118</Pages>
  <Words>37064</Words>
  <Characters>211267</Characters>
  <Application>Microsoft Office Word</Application>
  <DocSecurity>0</DocSecurity>
  <Lines>1760</Lines>
  <Paragraphs>495</Paragraphs>
  <ScaleCrop>false</ScaleCrop>
  <Company/>
  <LinksUpToDate>false</LinksUpToDate>
  <CharactersWithSpaces>247836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2023-03-22T15:52:00Z</dcterms:created>
  <dcterms:modified xsi:type="dcterms:W3CDTF">2023-03-22T15:52:00Z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2023-03-22T15:52:24Z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0096c5da-bcfb-476d-8fb7-ea53ca9b9450</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