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AB30" w14:textId="77777777" w:rsidR="00A65CDD" w:rsidRPr="00E807A6" w:rsidRDefault="00A65CDD" w:rsidP="00A65CDD">
      <w:pPr>
        <w:spacing w:after="0"/>
        <w:jc w:val="center"/>
        <w:rPr>
          <w:b/>
        </w:rPr>
      </w:pPr>
      <w:r w:rsidRPr="00E807A6">
        <w:rPr>
          <w:b/>
        </w:rPr>
        <w:t>NON-DISCLOSURE AND USE OF INFORMATION AGREEMENT</w:t>
      </w:r>
    </w:p>
    <w:p w14:paraId="15394710" w14:textId="77777777" w:rsidR="00D8044C" w:rsidRPr="00E807A6" w:rsidRDefault="00D8044C" w:rsidP="00A65CDD">
      <w:pPr>
        <w:ind w:firstLine="720"/>
      </w:pPr>
    </w:p>
    <w:p w14:paraId="1E24AB32" w14:textId="15CFECAE" w:rsidR="00A65CDD" w:rsidRPr="00E807A6" w:rsidRDefault="00A65CDD" w:rsidP="00A65CDD">
      <w:pPr>
        <w:ind w:firstLine="720"/>
      </w:pPr>
      <w:r w:rsidRPr="00E807A6">
        <w:t>THIS NON-DISCLOSURE AND USE OF INFORMATION AGREEMENT, by and between Pacific Gas and Electric Company, a California corporation (“</w:t>
      </w:r>
      <w:r w:rsidRPr="00E807A6">
        <w:rPr>
          <w:b/>
        </w:rPr>
        <w:t>PG&amp;E</w:t>
      </w:r>
      <w:r w:rsidRPr="00E807A6">
        <w:t xml:space="preserve">”), and </w:t>
      </w:r>
      <w:sdt>
        <w:sdtPr>
          <w:alias w:val="Insert Company Name (ALL Caps)"/>
          <w:tag w:val="txtCompanyName"/>
          <w:id w:val="2005698605"/>
          <w:lock w:val="sdtLocked"/>
          <w:placeholder>
            <w:docPart w:val="DefaultPlaceholder_-1854013440"/>
          </w:placeholder>
        </w:sdtPr>
        <w:sdtEndPr>
          <w:rPr>
            <w:highlight w:val="yellow"/>
          </w:rPr>
        </w:sdtEndPr>
        <w:sdtContent>
          <w:r w:rsidRPr="006E51FA">
            <w:rPr>
              <w:highlight w:val="yellow"/>
            </w:rPr>
            <w:t>[</w:t>
          </w:r>
          <w:r w:rsidR="006E51FA" w:rsidRPr="006E51FA">
            <w:rPr>
              <w:highlight w:val="yellow"/>
            </w:rPr>
            <w:t>___________</w:t>
          </w:r>
          <w:r w:rsidRPr="006E51FA">
            <w:rPr>
              <w:highlight w:val="yellow"/>
            </w:rPr>
            <w:t>]</w:t>
          </w:r>
        </w:sdtContent>
      </w:sdt>
      <w:r w:rsidRPr="00E807A6">
        <w:t xml:space="preserve">, a </w:t>
      </w:r>
      <w:sdt>
        <w:sdtPr>
          <w:alias w:val="add corporate type and state"/>
          <w:tag w:val="txtCorpTypeAndState"/>
          <w:id w:val="1719013205"/>
          <w:lock w:val="sdtLocked"/>
          <w:placeholder>
            <w:docPart w:val="DefaultPlaceholder_-1854013440"/>
          </w:placeholder>
        </w:sdtPr>
        <w:sdtEndPr>
          <w:rPr>
            <w:highlight w:val="yellow"/>
          </w:rPr>
        </w:sdtEndPr>
        <w:sdtContent>
          <w:r w:rsidRPr="006E51FA">
            <w:rPr>
              <w:highlight w:val="yellow"/>
            </w:rPr>
            <w:t>[add corporate type and state]</w:t>
          </w:r>
        </w:sdtContent>
      </w:sdt>
      <w:r w:rsidRPr="00E807A6">
        <w:t xml:space="preserve"> (“</w:t>
      </w:r>
      <w:r w:rsidRPr="00E807A6">
        <w:rPr>
          <w:b/>
        </w:rPr>
        <w:t>Receiving Party</w:t>
      </w:r>
      <w:r w:rsidRPr="00E807A6">
        <w:t>”) (the “</w:t>
      </w:r>
      <w:r w:rsidRPr="00E807A6">
        <w:rPr>
          <w:b/>
        </w:rPr>
        <w:t>Agreement</w:t>
      </w:r>
      <w:r w:rsidRPr="00E807A6">
        <w:t>”), is effective as of the latest signature date below (the “</w:t>
      </w:r>
      <w:r w:rsidRPr="00E807A6">
        <w:rPr>
          <w:b/>
        </w:rPr>
        <w:t>Effective Date</w:t>
      </w:r>
      <w:r w:rsidRPr="00E807A6">
        <w:t>”).  PG&amp;E and Receiving Party are collectively referred to as the “</w:t>
      </w:r>
      <w:r w:rsidRPr="00E807A6">
        <w:rPr>
          <w:b/>
        </w:rPr>
        <w:t>Parties</w:t>
      </w:r>
      <w:r w:rsidRPr="00E807A6">
        <w:t>,” or individually as a “</w:t>
      </w:r>
      <w:r w:rsidRPr="00E807A6">
        <w:rPr>
          <w:b/>
        </w:rPr>
        <w:t>Party</w:t>
      </w:r>
      <w:r w:rsidRPr="00E807A6">
        <w:t xml:space="preserve">.”  This Agreement shall govern the use of </w:t>
      </w:r>
      <w:r w:rsidR="00BD1897" w:rsidRPr="00E807A6">
        <w:t xml:space="preserve">confidential </w:t>
      </w:r>
      <w:r w:rsidR="00D8044C" w:rsidRPr="00E807A6">
        <w:t>Grid Needs Data</w:t>
      </w:r>
      <w:r w:rsidR="004B4F3B" w:rsidRPr="00E807A6">
        <w:t xml:space="preserve"> (“Confidential Information”)</w:t>
      </w:r>
      <w:r w:rsidR="00D8044C" w:rsidRPr="00E807A6">
        <w:t xml:space="preserve">, </w:t>
      </w:r>
      <w:r w:rsidRPr="00E807A6">
        <w:t>provided by, or on behalf of, PG&amp;E to the Receiving Party</w:t>
      </w:r>
      <w:r w:rsidR="003269F8" w:rsidRPr="00E807A6">
        <w:t xml:space="preserve"> as part of the </w:t>
      </w:r>
      <w:r w:rsidR="00A915B2" w:rsidRPr="00E807A6">
        <w:t xml:space="preserve">Distribution Investment Deferral Framework </w:t>
      </w:r>
      <w:r w:rsidR="005463EB">
        <w:t>Partnership</w:t>
      </w:r>
      <w:r w:rsidR="007A106E">
        <w:t xml:space="preserve"> Pilot </w:t>
      </w:r>
      <w:r w:rsidR="00A915B2" w:rsidRPr="00E807A6">
        <w:t>(“</w:t>
      </w:r>
      <w:r w:rsidR="007A106E">
        <w:t xml:space="preserve">DIDF </w:t>
      </w:r>
      <w:r w:rsidR="005463EB">
        <w:t xml:space="preserve">Partnership </w:t>
      </w:r>
      <w:r w:rsidR="007A106E">
        <w:t>Pilot</w:t>
      </w:r>
      <w:r w:rsidR="00A915B2" w:rsidRPr="00E807A6">
        <w:t>”)</w:t>
      </w:r>
      <w:r w:rsidRPr="00E807A6">
        <w:t>.</w:t>
      </w:r>
    </w:p>
    <w:p w14:paraId="1E24AB33" w14:textId="77777777" w:rsidR="00A65CDD" w:rsidRPr="00E807A6" w:rsidRDefault="00A65CDD" w:rsidP="00A65CDD">
      <w:pPr>
        <w:jc w:val="center"/>
        <w:rPr>
          <w:b/>
        </w:rPr>
      </w:pPr>
      <w:r w:rsidRPr="00E807A6">
        <w:rPr>
          <w:b/>
        </w:rPr>
        <w:t>RECITALS</w:t>
      </w:r>
    </w:p>
    <w:p w14:paraId="3705E4C2" w14:textId="64B789CE" w:rsidR="006D3B29" w:rsidRPr="00E807A6" w:rsidRDefault="00A65CDD" w:rsidP="00A65CDD">
      <w:pPr>
        <w:ind w:firstLine="720"/>
      </w:pPr>
      <w:r w:rsidRPr="00E807A6">
        <w:t xml:space="preserve">WHEREAS, the purpose of this Agreement is to permit the Receiving Party to receive </w:t>
      </w:r>
      <w:r w:rsidR="00A915B2" w:rsidRPr="00E807A6">
        <w:t>Grid Needs Data</w:t>
      </w:r>
      <w:r w:rsidRPr="00E807A6">
        <w:t xml:space="preserve"> for purposes of </w:t>
      </w:r>
      <w:r w:rsidR="005D2A7C" w:rsidRPr="00E807A6">
        <w:t xml:space="preserve">participating </w:t>
      </w:r>
      <w:r w:rsidR="006D7233" w:rsidRPr="00E807A6">
        <w:t>into the</w:t>
      </w:r>
      <w:r w:rsidR="00F80F46" w:rsidRPr="00E807A6">
        <w:t xml:space="preserve"> </w:t>
      </w:r>
      <w:r w:rsidR="007A106E">
        <w:t xml:space="preserve">DIDF </w:t>
      </w:r>
      <w:r w:rsidR="005463EB">
        <w:t xml:space="preserve">Partnership </w:t>
      </w:r>
      <w:r w:rsidR="007A106E">
        <w:t>Pilot</w:t>
      </w:r>
      <w:r w:rsidRPr="00E807A6">
        <w:t>;</w:t>
      </w:r>
      <w:r w:rsidR="005F711F" w:rsidRPr="00E807A6">
        <w:t xml:space="preserve"> </w:t>
      </w:r>
      <w:r w:rsidR="006D3B29" w:rsidRPr="00E807A6">
        <w:t>and</w:t>
      </w:r>
    </w:p>
    <w:p w14:paraId="12745185" w14:textId="0237C1CE" w:rsidR="003F518E" w:rsidRPr="00E807A6" w:rsidRDefault="003F518E" w:rsidP="003F518E">
      <w:pPr>
        <w:ind w:firstLine="720"/>
        <w:rPr>
          <w:rFonts w:cs="Times New Roman"/>
        </w:rPr>
      </w:pPr>
      <w:r w:rsidRPr="00E807A6">
        <w:t xml:space="preserve">WHEREAS, the Grid Needs Data must be kept confidential to ensure customer privacy pursuant to Public Utilities Code </w:t>
      </w:r>
      <w:r w:rsidRPr="00E807A6">
        <w:rPr>
          <w:rFonts w:cs="Times New Roman"/>
        </w:rPr>
        <w:t>§ 8360</w:t>
      </w:r>
      <w:r w:rsidR="003D44D4" w:rsidRPr="00E807A6">
        <w:rPr>
          <w:rFonts w:cs="Times New Roman"/>
        </w:rPr>
        <w:t xml:space="preserve"> </w:t>
      </w:r>
      <w:r w:rsidR="00DE2231" w:rsidRPr="00E807A6">
        <w:rPr>
          <w:rFonts w:cs="Times New Roman"/>
        </w:rPr>
        <w:t>and rules established by the California Public Utilities Commission (Decision</w:t>
      </w:r>
      <w:r w:rsidR="005E1FDA" w:rsidRPr="00E807A6">
        <w:rPr>
          <w:rFonts w:cs="Times New Roman"/>
        </w:rPr>
        <w:t xml:space="preserve"> </w:t>
      </w:r>
      <w:r w:rsidR="00020454" w:rsidRPr="00E807A6">
        <w:t>97-10-031)</w:t>
      </w:r>
      <w:r w:rsidRPr="00E807A6">
        <w:rPr>
          <w:rFonts w:cs="Times New Roman"/>
        </w:rPr>
        <w:t>; and</w:t>
      </w:r>
    </w:p>
    <w:p w14:paraId="1E24AB36" w14:textId="05BE570A" w:rsidR="00A65CDD" w:rsidRPr="00E807A6" w:rsidRDefault="00555679" w:rsidP="00A65CDD">
      <w:pPr>
        <w:ind w:firstLine="720"/>
      </w:pPr>
      <w:r w:rsidRPr="00E807A6">
        <w:rPr>
          <w:rFonts w:cs="Times New Roman"/>
        </w:rPr>
        <w:t>WHEREAS,</w:t>
      </w:r>
      <w:r w:rsidR="006D3B29" w:rsidRPr="00E807A6">
        <w:t xml:space="preserve"> </w:t>
      </w:r>
      <w:r w:rsidR="008A1E4A" w:rsidRPr="00E807A6">
        <w:t xml:space="preserve">PG&amp;E </w:t>
      </w:r>
      <w:r w:rsidR="003B515E" w:rsidRPr="00E807A6">
        <w:t xml:space="preserve">is providing the Grid Needs Data to the </w:t>
      </w:r>
      <w:r w:rsidR="006D3B29" w:rsidRPr="00E807A6">
        <w:t>Receiving Party pursuant to this Agreement</w:t>
      </w:r>
      <w:r w:rsidR="003B515E" w:rsidRPr="00E807A6">
        <w:t xml:space="preserve"> </w:t>
      </w:r>
      <w:r w:rsidR="003A6B75" w:rsidRPr="00E807A6">
        <w:t>so as to ensure customer privacy and non-disclosure of personally identifiable information</w:t>
      </w:r>
      <w:r w:rsidR="003A4C99" w:rsidRPr="00E807A6">
        <w:t xml:space="preserve">. </w:t>
      </w:r>
      <w:r w:rsidR="003A6B75" w:rsidRPr="00E807A6">
        <w:t xml:space="preserve"> </w:t>
      </w:r>
    </w:p>
    <w:p w14:paraId="1E24AB3A" w14:textId="77777777" w:rsidR="00A65CDD" w:rsidRPr="00E807A6" w:rsidRDefault="00A65CDD" w:rsidP="00A65CDD">
      <w:pPr>
        <w:jc w:val="center"/>
        <w:rPr>
          <w:b/>
        </w:rPr>
      </w:pPr>
      <w:r w:rsidRPr="00E807A6">
        <w:rPr>
          <w:b/>
        </w:rPr>
        <w:t>AGREEMENT</w:t>
      </w:r>
    </w:p>
    <w:p w14:paraId="1E24AB3B" w14:textId="4DCFA74E" w:rsidR="00A65CDD" w:rsidRPr="00E807A6" w:rsidRDefault="00B231A3" w:rsidP="00A65CDD">
      <w:pPr>
        <w:ind w:firstLine="720"/>
      </w:pPr>
      <w:r w:rsidRPr="00E807A6">
        <w:t>T</w:t>
      </w:r>
      <w:r w:rsidR="00A65CDD" w:rsidRPr="00E807A6">
        <w:t>he Parties hereby agree and stipulate, by and through their counsel, as follows:</w:t>
      </w:r>
    </w:p>
    <w:p w14:paraId="38C344FD" w14:textId="536ABC70" w:rsidR="00AC7FF9" w:rsidRPr="00E807A6" w:rsidRDefault="00AC7FF9" w:rsidP="00AC7FF9">
      <w:r w:rsidRPr="00E807A6">
        <w:t>1.</w:t>
      </w:r>
      <w:r w:rsidRPr="00E807A6">
        <w:tab/>
        <w:t xml:space="preserve">The Receiving Party acknowledges that it will be given access to </w:t>
      </w:r>
      <w:r w:rsidR="00BD1897" w:rsidRPr="00E807A6">
        <w:t xml:space="preserve">Grid Needs Data </w:t>
      </w:r>
      <w:r w:rsidR="00553081">
        <w:t xml:space="preserve">by PG&amp;E. </w:t>
      </w:r>
      <w:r w:rsidR="00FB53C7">
        <w:t xml:space="preserve">All </w:t>
      </w:r>
      <w:r w:rsidR="00553081">
        <w:t xml:space="preserve">Grid Needs Data </w:t>
      </w:r>
      <w:r w:rsidR="0056643A" w:rsidRPr="00E807A6">
        <w:t xml:space="preserve">are owned by, and in the possession of, PG&amp;E, and constitute confidential and sensitive information (“Confidential Information”).  </w:t>
      </w:r>
      <w:r w:rsidR="0056643A" w:rsidRPr="00A907EF">
        <w:t xml:space="preserve">Grid Needs Data </w:t>
      </w:r>
      <w:r w:rsidRPr="00606C7F">
        <w:t xml:space="preserve">means the grayshaded or redacted information in the Solicitation Protocol for the </w:t>
      </w:r>
      <w:r w:rsidR="007A106E" w:rsidRPr="00F270C4">
        <w:t xml:space="preserve">DIDF </w:t>
      </w:r>
      <w:r w:rsidR="005463EB" w:rsidRPr="00547CEE">
        <w:t xml:space="preserve">Partnership </w:t>
      </w:r>
      <w:r w:rsidR="007A106E" w:rsidRPr="00547CEE">
        <w:t>Pilot</w:t>
      </w:r>
      <w:r w:rsidRPr="00547CEE">
        <w:t xml:space="preserve">, or as otherwise identified as Confidential Grid Needs Data in </w:t>
      </w:r>
      <w:r w:rsidR="007A106E" w:rsidRPr="00547CEE">
        <w:t xml:space="preserve">DIDF </w:t>
      </w:r>
      <w:r w:rsidR="005463EB" w:rsidRPr="00547CEE">
        <w:t xml:space="preserve">Partnership </w:t>
      </w:r>
      <w:r w:rsidR="007A106E" w:rsidRPr="00547CEE">
        <w:t>Pilot</w:t>
      </w:r>
      <w:r w:rsidRPr="00547CEE">
        <w:t xml:space="preserve"> solicitation materials</w:t>
      </w:r>
      <w:r w:rsidR="00491478" w:rsidRPr="00547CEE">
        <w:t xml:space="preserve"> and </w:t>
      </w:r>
      <w:r w:rsidR="00491478" w:rsidRPr="00A907EF">
        <w:t>communications</w:t>
      </w:r>
      <w:r w:rsidR="00553081" w:rsidRPr="00A907EF">
        <w:t xml:space="preserve"> by PG&amp;E</w:t>
      </w:r>
      <w:r w:rsidR="0056643A" w:rsidRPr="00606C7F">
        <w:t>.</w:t>
      </w:r>
      <w:r w:rsidRPr="00E807A6">
        <w:t xml:space="preserve"> </w:t>
      </w:r>
    </w:p>
    <w:p w14:paraId="363A7B1F" w14:textId="6E111A1B" w:rsidR="00AC7FF9" w:rsidRPr="00E807A6" w:rsidRDefault="00AC7FF9" w:rsidP="00AC7FF9">
      <w:r w:rsidRPr="00E807A6">
        <w:t>2.</w:t>
      </w:r>
      <w:r w:rsidRPr="00E807A6">
        <w:tab/>
        <w:t xml:space="preserve">In consideration of receiving </w:t>
      </w:r>
      <w:r w:rsidR="004B4F3B" w:rsidRPr="00E807A6">
        <w:t>Confidential Information</w:t>
      </w:r>
      <w:r w:rsidRPr="00E807A6">
        <w:t xml:space="preserve">, the Receiving Party hereby agrees to hold </w:t>
      </w:r>
      <w:r w:rsidR="00553081">
        <w:t>the Confidential Information</w:t>
      </w:r>
      <w:r w:rsidR="00553081" w:rsidRPr="00E807A6">
        <w:t xml:space="preserve"> </w:t>
      </w:r>
      <w:r w:rsidRPr="00E807A6">
        <w:t xml:space="preserve">in strict confidence and not to disclose it or otherwise make it available to any person or third party, other than Receiving Party’s employees, agents, consultants, or subcontractors who have a need to use the </w:t>
      </w:r>
      <w:r w:rsidR="004B4F3B" w:rsidRPr="00E807A6">
        <w:t>Confidential Information</w:t>
      </w:r>
      <w:r w:rsidRPr="00E807A6">
        <w:t xml:space="preserve">.  </w:t>
      </w:r>
      <w:r w:rsidR="00553081">
        <w:t xml:space="preserve">Receiving Party must have a </w:t>
      </w:r>
      <w:r w:rsidR="006E133B">
        <w:t xml:space="preserve">prior </w:t>
      </w:r>
      <w:r w:rsidR="00553081">
        <w:t xml:space="preserve">written agreement with its consultants and contractors </w:t>
      </w:r>
      <w:r w:rsidR="006E133B">
        <w:t>requiring</w:t>
      </w:r>
      <w:r w:rsidR="00553081">
        <w:t xml:space="preserve"> the same level of </w:t>
      </w:r>
      <w:r w:rsidR="00A907EF">
        <w:t>confidentiality protection</w:t>
      </w:r>
      <w:r w:rsidR="00553081">
        <w:t xml:space="preserve"> </w:t>
      </w:r>
      <w:r w:rsidR="00FB53C7">
        <w:t>required by this Agreement</w:t>
      </w:r>
      <w:r w:rsidR="00553081">
        <w:t xml:space="preserve"> prior to </w:t>
      </w:r>
      <w:r w:rsidR="006E133B">
        <w:t xml:space="preserve">the consultants and contractors </w:t>
      </w:r>
      <w:r w:rsidR="00553081">
        <w:t xml:space="preserve">receiving any Confidential Information. </w:t>
      </w:r>
      <w:r w:rsidRPr="00E807A6">
        <w:t xml:space="preserve">The Receiving Party agrees that all such </w:t>
      </w:r>
      <w:r w:rsidR="004B4F3B" w:rsidRPr="00E807A6">
        <w:t>Confidential Information</w:t>
      </w:r>
      <w:r w:rsidRPr="00E807A6">
        <w:t>:</w:t>
      </w:r>
    </w:p>
    <w:p w14:paraId="7C922C99" w14:textId="2123618A" w:rsidR="00AC7FF9" w:rsidRPr="00E807A6" w:rsidRDefault="00AC7FF9" w:rsidP="00AC7FF9">
      <w:pPr>
        <w:ind w:left="1440" w:hanging="720"/>
      </w:pPr>
      <w:r w:rsidRPr="00E807A6">
        <w:t>(a)</w:t>
      </w:r>
      <w:r w:rsidRPr="00E807A6">
        <w:tab/>
        <w:t xml:space="preserve">shall be used only for the purpose of </w:t>
      </w:r>
      <w:r w:rsidR="00DD2917" w:rsidRPr="00E807A6">
        <w:t xml:space="preserve">participating in the </w:t>
      </w:r>
      <w:r w:rsidR="007A106E">
        <w:t xml:space="preserve">DIDF </w:t>
      </w:r>
      <w:r w:rsidR="005463EB">
        <w:t>Partnership</w:t>
      </w:r>
      <w:r w:rsidR="007A106E">
        <w:t xml:space="preserve"> Pilot</w:t>
      </w:r>
      <w:r w:rsidR="006E133B">
        <w:t xml:space="preserve"> </w:t>
      </w:r>
      <w:r w:rsidR="00FB53C7">
        <w:t xml:space="preserve">consistent with the requirements of this Agreement </w:t>
      </w:r>
      <w:r w:rsidR="006E133B">
        <w:t>and no other purpose</w:t>
      </w:r>
      <w:r w:rsidRPr="00E807A6">
        <w:t xml:space="preserve">; </w:t>
      </w:r>
    </w:p>
    <w:p w14:paraId="0EC5EFB5" w14:textId="0FE95062" w:rsidR="00AC7FF9" w:rsidRPr="00E807A6" w:rsidRDefault="00AC7FF9" w:rsidP="00AC7FF9">
      <w:pPr>
        <w:ind w:left="1440" w:hanging="720"/>
      </w:pPr>
      <w:r w:rsidRPr="00E807A6">
        <w:t>(b)</w:t>
      </w:r>
      <w:r w:rsidRPr="00E807A6">
        <w:tab/>
      </w:r>
      <w:r w:rsidR="006E133B">
        <w:t xml:space="preserve">except as provided </w:t>
      </w:r>
      <w:r w:rsidR="00FB53C7">
        <w:t>in this Agreement</w:t>
      </w:r>
      <w:r w:rsidR="006E133B">
        <w:t xml:space="preserve">, </w:t>
      </w:r>
      <w:r w:rsidRPr="00E807A6">
        <w:t>shall not be disclosed to any person or third party;</w:t>
      </w:r>
    </w:p>
    <w:p w14:paraId="5A89ABA0" w14:textId="6561BBFA" w:rsidR="00AC7FF9" w:rsidRPr="00E807A6" w:rsidRDefault="00AC7FF9" w:rsidP="00AC7FF9">
      <w:pPr>
        <w:ind w:left="1440" w:hanging="720"/>
      </w:pPr>
      <w:r w:rsidRPr="00E807A6">
        <w:t>(c)</w:t>
      </w:r>
      <w:r w:rsidRPr="00E807A6">
        <w:tab/>
        <w:t>shall not be reproduced, copied, in whole or in part, except as specifically authorized</w:t>
      </w:r>
      <w:r w:rsidR="006E133B">
        <w:t xml:space="preserve"> by</w:t>
      </w:r>
      <w:r w:rsidRPr="00E807A6">
        <w:t xml:space="preserve"> and in conformance with PG&amp;E’s instructions when necessary for the purposes set forth in </w:t>
      </w:r>
      <w:r w:rsidR="006E133B">
        <w:t>S</w:t>
      </w:r>
      <w:r w:rsidR="006E133B" w:rsidRPr="00E807A6">
        <w:t>ubsection </w:t>
      </w:r>
      <w:r w:rsidRPr="00E807A6">
        <w:t>2(a) above; and</w:t>
      </w:r>
    </w:p>
    <w:p w14:paraId="6E89EDCB" w14:textId="0A4F415E" w:rsidR="00AC7FF9" w:rsidRPr="00E807A6" w:rsidRDefault="00AC7FF9" w:rsidP="00AC7FF9">
      <w:pPr>
        <w:ind w:left="1440" w:hanging="720"/>
      </w:pPr>
      <w:r w:rsidRPr="00E807A6">
        <w:lastRenderedPageBreak/>
        <w:t>(d)</w:t>
      </w:r>
      <w:r w:rsidRPr="00E807A6">
        <w:tab/>
        <w:t>shall, together with any copies, reproductions or other records thereof, in any form, and all information and materials developed by the Receiving Party therefrom, be returned to PG&amp;E</w:t>
      </w:r>
      <w:r w:rsidR="006E133B">
        <w:t>,</w:t>
      </w:r>
      <w:r w:rsidRPr="00E807A6">
        <w:t xml:space="preserve"> or destroyed</w:t>
      </w:r>
      <w:r w:rsidR="006E133B">
        <w:t xml:space="preserve"> </w:t>
      </w:r>
      <w:r w:rsidR="003C3261">
        <w:t>upon written request</w:t>
      </w:r>
      <w:r w:rsidR="006E133B">
        <w:t xml:space="preserve"> by PG&amp;E,</w:t>
      </w:r>
      <w:r w:rsidR="006E133B" w:rsidRPr="00E807A6">
        <w:t xml:space="preserve"> </w:t>
      </w:r>
      <w:r w:rsidRPr="00E807A6">
        <w:t xml:space="preserve">upon the termination of this Agreement.  Within fifteen </w:t>
      </w:r>
      <w:r w:rsidR="00FD3103">
        <w:t xml:space="preserve">(15) </w:t>
      </w:r>
      <w:r w:rsidRPr="00E807A6">
        <w:t>days of such date, the Receiving Party shall submit to PG&amp;E an affidavit that all Confidential Information has been returned to PG&amp;E</w:t>
      </w:r>
      <w:r w:rsidR="00722273">
        <w:t>,</w:t>
      </w:r>
      <w:r w:rsidRPr="00E807A6">
        <w:t xml:space="preserve"> or has been destroyed</w:t>
      </w:r>
      <w:r w:rsidR="00722273">
        <w:t xml:space="preserve"> if </w:t>
      </w:r>
      <w:r w:rsidR="003C3261">
        <w:t>requested</w:t>
      </w:r>
      <w:r w:rsidR="00722273">
        <w:t xml:space="preserve"> by PG&amp;E</w:t>
      </w:r>
      <w:r w:rsidRPr="00E807A6">
        <w:t>.</w:t>
      </w:r>
    </w:p>
    <w:p w14:paraId="3C746854" w14:textId="1D8B6427" w:rsidR="00AC7FF9" w:rsidRPr="00E807A6" w:rsidRDefault="00AC7FF9" w:rsidP="00AC7FF9">
      <w:r w:rsidRPr="00E807A6">
        <w:t>3.</w:t>
      </w:r>
      <w:r w:rsidRPr="00E807A6">
        <w:tab/>
        <w:t xml:space="preserve">Confidential </w:t>
      </w:r>
      <w:r w:rsidR="003E038D" w:rsidRPr="00E807A6">
        <w:t>I</w:t>
      </w:r>
      <w:r w:rsidRPr="00E807A6">
        <w:t>nformation shall be protected by the Receiving Party using reasonable security procedures and practices to protect such information from unauthorized access, use, modification or disclosure, including without limitation, encryption at rest of the Confidential Information, password-protected workstations, and documented training of all persons with access to the Confidential Information.  Under no circumstances shall the Receiving Party sell or obtain any consideration for transfer of the Confidential Information to any third party.</w:t>
      </w:r>
    </w:p>
    <w:p w14:paraId="6A13D99F" w14:textId="45D6FF99" w:rsidR="00606C7F" w:rsidRDefault="00AC7FF9" w:rsidP="00AC7FF9">
      <w:r w:rsidRPr="00E807A6">
        <w:t>4.</w:t>
      </w:r>
      <w:r w:rsidRPr="00E807A6">
        <w:tab/>
      </w:r>
      <w:r w:rsidR="00606C7F" w:rsidRPr="00606C7F">
        <w:t xml:space="preserve">If any Confidential Information is required to be disclosed by law, rule, regulation, court of competent jurisdiction or governmental order, then to the extent permitted by applicable law, the Receiving Party shall advise PG&amp;E </w:t>
      </w:r>
      <w:r w:rsidR="002E474C">
        <w:t xml:space="preserve">in writing </w:t>
      </w:r>
      <w:r w:rsidR="00606C7F" w:rsidRPr="00606C7F">
        <w:t>of the Confidential Information required to be disclosed promptly upon learning thereof in order to afford PG&amp;E (at PG&amp;E’s sole cost and expense) a reasonable opportunity to contest, limit or assist the Receiving Party in crafting the disclosure, and then such disclosure shall be made only to the extent necessary to satisfy such requirements.</w:t>
      </w:r>
    </w:p>
    <w:p w14:paraId="58D3216D" w14:textId="078DFE12" w:rsidR="00AC7FF9" w:rsidRPr="00E807A6" w:rsidRDefault="00606C7F" w:rsidP="00AC7FF9">
      <w:r>
        <w:t>5.</w:t>
      </w:r>
      <w:r>
        <w:tab/>
      </w:r>
      <w:r w:rsidR="00AC7FF9" w:rsidRPr="00E807A6">
        <w:t xml:space="preserve">The Receiving Party </w:t>
      </w:r>
      <w:r w:rsidR="002E474C" w:rsidRPr="002E474C">
        <w:t xml:space="preserve">acknowledges and agrees that, in the event of any breach of this Confidentiality Agreement, </w:t>
      </w:r>
      <w:r w:rsidR="002E474C">
        <w:t>PG&amp;E</w:t>
      </w:r>
      <w:r w:rsidR="002E474C" w:rsidRPr="002E474C">
        <w:t xml:space="preserve"> may be irreparably and immediately harmed and monetary damages may not be adequate to make Provider whole.  Accordingly, </w:t>
      </w:r>
      <w:r w:rsidR="002E474C">
        <w:t xml:space="preserve">Receiving Party </w:t>
      </w:r>
      <w:r w:rsidR="00AC7FF9" w:rsidRPr="00E807A6">
        <w:t xml:space="preserve">hereby agrees that, in addition to any other remedy PG&amp;E may have at law or in equity, PG&amp;E will have the right to obtain immediate temporary or preliminary injunctive relief, without posting of bond or other security and without proof of damages, enjoining any breach or threatened breach of this Agreement </w:t>
      </w:r>
      <w:r w:rsidRPr="00606C7F">
        <w:t xml:space="preserve">and/or to compel specific performance of this Agreement, and that neither </w:t>
      </w:r>
      <w:r w:rsidR="002E474C">
        <w:t>Receiving Party</w:t>
      </w:r>
      <w:r w:rsidRPr="00606C7F">
        <w:t xml:space="preserve"> nor </w:t>
      </w:r>
      <w:r w:rsidR="002E474C">
        <w:t xml:space="preserve">any of </w:t>
      </w:r>
      <w:r w:rsidRPr="00606C7F">
        <w:t xml:space="preserve">its </w:t>
      </w:r>
      <w:r w:rsidR="002E474C">
        <w:t>r</w:t>
      </w:r>
      <w:r w:rsidRPr="00606C7F">
        <w:t xml:space="preserve">epresentatives will oppose the granting of such equitable relief if a court finds a breach or threatened breach.  Each Party expressly agrees that it shall bear </w:t>
      </w:r>
      <w:r w:rsidR="002E474C">
        <w:t>its own</w:t>
      </w:r>
      <w:r w:rsidRPr="00606C7F">
        <w:t xml:space="preserve"> costs and expenses, including attorneys’ fees and costs</w:t>
      </w:r>
      <w:r w:rsidR="002E474C">
        <w:t>,</w:t>
      </w:r>
      <w:r w:rsidRPr="00606C7F">
        <w:t xml:space="preserve"> that it may incur in enforcing the provisions of this Agreement.</w:t>
      </w:r>
    </w:p>
    <w:p w14:paraId="36B6344E" w14:textId="77777777" w:rsidR="00AC7FF9" w:rsidRPr="00E807A6" w:rsidRDefault="00AC7FF9" w:rsidP="00AC7FF9">
      <w:r w:rsidRPr="00E807A6">
        <w:t>5.</w:t>
      </w:r>
      <w:r w:rsidRPr="00E807A6">
        <w:tab/>
        <w:t>This Agreement shall be governed by and interpreted in accordance with the laws of the State of California, without regard to provisions which may direct the application of laws of another jurisdiction. The Receiving Party agrees to comply with all federal, state and local laws governing the protection of the Confidential Information, including, without limitation, the California Consumer Privacy Act and all applicable laws, rules and regulations protecting consumer privacy.</w:t>
      </w:r>
    </w:p>
    <w:p w14:paraId="070168C9" w14:textId="1EB1B439" w:rsidR="00AC7FF9" w:rsidRDefault="00AC7FF9" w:rsidP="00AC7FF9">
      <w:r w:rsidRPr="00E807A6">
        <w:t>6.</w:t>
      </w:r>
      <w:r w:rsidRPr="00E807A6">
        <w:tab/>
        <w:t xml:space="preserve">The term of this Agreement shall be </w:t>
      </w:r>
      <w:r w:rsidR="003C3261">
        <w:t>two (</w:t>
      </w:r>
      <w:r w:rsidR="00D265C8">
        <w:t>2</w:t>
      </w:r>
      <w:r w:rsidR="003C3261">
        <w:t>)</w:t>
      </w:r>
      <w:r w:rsidR="00D265C8">
        <w:t xml:space="preserve"> years</w:t>
      </w:r>
      <w:r w:rsidR="00E85181" w:rsidRPr="00E807A6">
        <w:t xml:space="preserve"> </w:t>
      </w:r>
      <w:r w:rsidRPr="00E807A6">
        <w:t>from the Effective Date</w:t>
      </w:r>
      <w:r w:rsidR="00FB53C7">
        <w:t xml:space="preserve"> or two (2) years from the date of the last set of Confidential Information received by the Receiving Party, </w:t>
      </w:r>
      <w:r w:rsidR="00F270C4">
        <w:t>whichever</w:t>
      </w:r>
      <w:r w:rsidR="00FB53C7">
        <w:t xml:space="preserve"> is later</w:t>
      </w:r>
      <w:r w:rsidRPr="00E807A6">
        <w:t xml:space="preserve">  </w:t>
      </w:r>
    </w:p>
    <w:p w14:paraId="634A98A4" w14:textId="72F62168" w:rsidR="00606C7F" w:rsidRDefault="002E474C" w:rsidP="00606C7F">
      <w:r>
        <w:t>7</w:t>
      </w:r>
      <w:r w:rsidR="00606C7F">
        <w:t>.</w:t>
      </w:r>
      <w:r w:rsidR="00606C7F">
        <w:tab/>
        <w:t xml:space="preserve">Receiving Party shall not assign this </w:t>
      </w:r>
      <w:r>
        <w:t>Agreement,</w:t>
      </w:r>
      <w:r w:rsidR="00606C7F">
        <w:t xml:space="preserve"> nor any Confidential Information received from PG&amp;E pursuant to this </w:t>
      </w:r>
      <w:r>
        <w:t>Agreement,</w:t>
      </w:r>
      <w:r w:rsidR="00606C7F">
        <w:t xml:space="preserve"> without PG&amp;E’s prior written consent.  This </w:t>
      </w:r>
      <w:r>
        <w:t>Agreement</w:t>
      </w:r>
      <w:r w:rsidR="00606C7F">
        <w:t xml:space="preserve"> shall be binding upon Receiving Party, their successors, and assigns.</w:t>
      </w:r>
    </w:p>
    <w:p w14:paraId="78E8A64B" w14:textId="676C95C1" w:rsidR="00606C7F" w:rsidRDefault="002E474C" w:rsidP="00606C7F">
      <w:r>
        <w:t>8</w:t>
      </w:r>
      <w:r w:rsidR="00606C7F">
        <w:t>.</w:t>
      </w:r>
      <w:r w:rsidR="00606C7F">
        <w:tab/>
        <w:t xml:space="preserve">All Confidential Information is provided “as is” without any warranties, express, implied, or otherwise, regarding the accuracy or completeness of any Confidential Information disclosed by PG&amp;E to the Receiving Party. </w:t>
      </w:r>
    </w:p>
    <w:p w14:paraId="177D492A" w14:textId="4F0688DD" w:rsidR="00606C7F" w:rsidRDefault="002E474C" w:rsidP="00606C7F">
      <w:r>
        <w:t>9</w:t>
      </w:r>
      <w:r w:rsidR="00606C7F">
        <w:t>.</w:t>
      </w:r>
      <w:r w:rsidR="00606C7F">
        <w:tab/>
        <w:t xml:space="preserve">The covenants and agreements set forth in this </w:t>
      </w:r>
      <w:r>
        <w:t>Agreement</w:t>
      </w:r>
      <w:r w:rsidR="00606C7F">
        <w:t xml:space="preserve"> are each deemed separate and independent, and if any such covenant or agreement is determined by any court of competent jurisdiction </w:t>
      </w:r>
      <w:r w:rsidR="00606C7F">
        <w:lastRenderedPageBreak/>
        <w:t xml:space="preserve">or arbitrator/mediator to be invalid or unenforceable for any reason, the Parties shall negotiate an equitable adjustment in the provisions of this </w:t>
      </w:r>
      <w:r>
        <w:t>Agreement</w:t>
      </w:r>
      <w:r w:rsidR="00606C7F">
        <w:t xml:space="preserve"> with a view toward effectuating the purpose of this </w:t>
      </w:r>
      <w:r>
        <w:t>Agreement</w:t>
      </w:r>
      <w:r w:rsidR="00606C7F">
        <w:t xml:space="preserve">. The invalidity or unenforceability of any of the provisions, or application of any of the provisions, of this </w:t>
      </w:r>
      <w:r>
        <w:t>Agreement</w:t>
      </w:r>
      <w:r w:rsidR="00606C7F">
        <w:t xml:space="preserve"> will not affect the validity or enforceability of any of the remaining provisions of this </w:t>
      </w:r>
      <w:r>
        <w:t>Agreement</w:t>
      </w:r>
      <w:r w:rsidR="00606C7F">
        <w:t>.</w:t>
      </w:r>
    </w:p>
    <w:p w14:paraId="6F598A38" w14:textId="76654D35" w:rsidR="00606C7F" w:rsidRDefault="00606C7F" w:rsidP="00606C7F">
      <w:r>
        <w:t>1</w:t>
      </w:r>
      <w:r w:rsidR="002E474C">
        <w:t>0</w:t>
      </w:r>
      <w:r>
        <w:t>.</w:t>
      </w:r>
      <w:r>
        <w:tab/>
        <w:t xml:space="preserve">This </w:t>
      </w:r>
      <w:r w:rsidR="002E474C">
        <w:t>Agreement</w:t>
      </w:r>
      <w:r>
        <w:t xml:space="preserve"> contains the entire understanding between the Parties with respect to Confidential Information received hereunder.  This </w:t>
      </w:r>
      <w:r w:rsidR="002E474C">
        <w:t>Agreement</w:t>
      </w:r>
      <w:r>
        <w:t xml:space="preserve"> has been negotiated by both Parties and shall not be strictly construed against either Party.  No change, modification, extension, termination, or waiver of this </w:t>
      </w:r>
      <w:r w:rsidR="002E474C">
        <w:t>Agreement</w:t>
      </w:r>
      <w:r>
        <w:t xml:space="preserve"> shall be made effective unless in writing and signed by an authorized representative of each Party.</w:t>
      </w:r>
    </w:p>
    <w:p w14:paraId="4F874CAE" w14:textId="0D00E531" w:rsidR="00606C7F" w:rsidRPr="00E807A6" w:rsidRDefault="002E474C" w:rsidP="00606C7F">
      <w:r>
        <w:t>11.</w:t>
      </w:r>
      <w:r>
        <w:tab/>
      </w:r>
      <w:r w:rsidR="00606C7F" w:rsidRPr="00606C7F">
        <w:t xml:space="preserve">This </w:t>
      </w:r>
      <w:r>
        <w:t>Agreement</w:t>
      </w:r>
      <w:r w:rsidR="00606C7F" w:rsidRPr="00606C7F">
        <w:t xml:space="preserve"> may be executed in one or more counterparts, each of which shall be deemed an original and all of which, when taken together, constitute one and the same instrument.  The Parties agree that electronic signatures may be used for execution of the </w:t>
      </w:r>
      <w:r>
        <w:t>Agreement</w:t>
      </w:r>
      <w:r w:rsidR="00606C7F" w:rsidRPr="00606C7F">
        <w:t xml:space="preserve">.  The email, PDF or other electronically delivered signatures of the Parties shall be deemed to constitute original signatures, and electronic copies of the executed </w:t>
      </w:r>
      <w:r>
        <w:t>Agreement</w:t>
      </w:r>
      <w:r w:rsidR="00606C7F" w:rsidRPr="00606C7F">
        <w:t xml:space="preserve"> shall be deemed to constitute duplicate originals.</w:t>
      </w:r>
    </w:p>
    <w:p w14:paraId="5C1D8F54" w14:textId="77777777" w:rsidR="00AC7FF9" w:rsidRPr="00E807A6" w:rsidRDefault="00AC7FF9" w:rsidP="00AC7FF9">
      <w:pPr>
        <w:keepNext/>
        <w:ind w:firstLine="720"/>
      </w:pPr>
      <w:r w:rsidRPr="00E807A6">
        <w:t>IN WITNESS WHEREOF, the Parties have executed this Agreement by their authorized representatives as of the dates set forth below.</w:t>
      </w:r>
    </w:p>
    <w:tbl>
      <w:tblPr>
        <w:tblW w:w="9504" w:type="dxa"/>
        <w:tblLayout w:type="fixed"/>
        <w:tblLook w:val="00A0" w:firstRow="1" w:lastRow="0" w:firstColumn="1" w:lastColumn="0" w:noHBand="0" w:noVBand="0"/>
      </w:tblPr>
      <w:tblGrid>
        <w:gridCol w:w="1131"/>
        <w:gridCol w:w="3624"/>
        <w:gridCol w:w="1125"/>
        <w:gridCol w:w="3624"/>
      </w:tblGrid>
      <w:tr w:rsidR="00AC7FF9" w:rsidRPr="00E807A6" w14:paraId="22B6C9DF" w14:textId="77777777" w:rsidTr="002338D2">
        <w:trPr>
          <w:trHeight w:val="432"/>
        </w:trPr>
        <w:tc>
          <w:tcPr>
            <w:tcW w:w="4755" w:type="dxa"/>
            <w:gridSpan w:val="2"/>
            <w:vAlign w:val="bottom"/>
          </w:tcPr>
          <w:sdt>
            <w:sdtPr>
              <w:rPr>
                <w:rFonts w:eastAsia="Calibri" w:cs="Times New Roman"/>
                <w:b/>
                <w:highlight w:val="yellow"/>
              </w:rPr>
              <w:alias w:val="Name of Receiving Party"/>
              <w:tag w:val="txtReceivingParty"/>
              <w:id w:val="1926765002"/>
              <w:lock w:val="sdtLocked"/>
              <w:placeholder>
                <w:docPart w:val="DefaultPlaceholder_-1854013440"/>
              </w:placeholder>
            </w:sdtPr>
            <w:sdtEndPr/>
            <w:sdtContent>
              <w:p w14:paraId="75107F13" w14:textId="4ABC6B47" w:rsidR="00AC7FF9" w:rsidRPr="00E807A6" w:rsidRDefault="00AC7FF9" w:rsidP="002338D2">
                <w:pPr>
                  <w:keepNext/>
                  <w:spacing w:after="0"/>
                  <w:rPr>
                    <w:rFonts w:eastAsia="Calibri" w:cs="Times New Roman"/>
                    <w:b/>
                  </w:rPr>
                </w:pPr>
                <w:r w:rsidRPr="006E51FA">
                  <w:rPr>
                    <w:rFonts w:eastAsia="Calibri" w:cs="Times New Roman"/>
                    <w:b/>
                    <w:highlight w:val="yellow"/>
                  </w:rPr>
                  <w:t>[Name of Receiving Party]</w:t>
                </w:r>
              </w:p>
            </w:sdtContent>
          </w:sdt>
        </w:tc>
        <w:tc>
          <w:tcPr>
            <w:tcW w:w="4749" w:type="dxa"/>
            <w:gridSpan w:val="2"/>
            <w:vAlign w:val="bottom"/>
          </w:tcPr>
          <w:p w14:paraId="14E7FBE2" w14:textId="77777777" w:rsidR="00AC7FF9" w:rsidRPr="00E807A6" w:rsidRDefault="00AC7FF9" w:rsidP="002338D2">
            <w:pPr>
              <w:keepNext/>
              <w:spacing w:after="0"/>
              <w:rPr>
                <w:rFonts w:eastAsia="Calibri" w:cs="Times New Roman"/>
                <w:b/>
              </w:rPr>
            </w:pPr>
            <w:r w:rsidRPr="00E807A6">
              <w:rPr>
                <w:rFonts w:eastAsia="Calibri" w:cs="Times New Roman"/>
                <w:b/>
              </w:rPr>
              <w:t xml:space="preserve">PACIFIC GAS AND ELECTRIC COMPANY </w:t>
            </w:r>
          </w:p>
        </w:tc>
      </w:tr>
      <w:tr w:rsidR="00AC7FF9" w:rsidRPr="00E807A6" w14:paraId="40196413" w14:textId="77777777" w:rsidTr="002338D2">
        <w:trPr>
          <w:trHeight w:val="702"/>
        </w:trPr>
        <w:tc>
          <w:tcPr>
            <w:tcW w:w="1131" w:type="dxa"/>
            <w:vAlign w:val="bottom"/>
          </w:tcPr>
          <w:p w14:paraId="596B2F66" w14:textId="77777777" w:rsidR="00AC7FF9" w:rsidRPr="00E807A6" w:rsidRDefault="00AC7FF9" w:rsidP="002338D2">
            <w:pPr>
              <w:keepNext/>
              <w:spacing w:after="0"/>
              <w:jc w:val="right"/>
              <w:rPr>
                <w:rFonts w:eastAsia="Calibri" w:cs="Times New Roman"/>
              </w:rPr>
            </w:pPr>
            <w:r w:rsidRPr="00E807A6">
              <w:rPr>
                <w:rFonts w:eastAsia="Calibri" w:cs="Times New Roman"/>
              </w:rPr>
              <w:t>Signature:</w:t>
            </w:r>
          </w:p>
        </w:tc>
        <w:tc>
          <w:tcPr>
            <w:tcW w:w="3624" w:type="dxa"/>
            <w:tcBorders>
              <w:bottom w:val="single" w:sz="4" w:space="0" w:color="auto"/>
            </w:tcBorders>
            <w:vAlign w:val="bottom"/>
          </w:tcPr>
          <w:p w14:paraId="00064F86" w14:textId="77777777" w:rsidR="00AC7FF9" w:rsidRPr="00E807A6" w:rsidRDefault="00AC7FF9" w:rsidP="002338D2">
            <w:pPr>
              <w:keepNext/>
              <w:spacing w:after="0"/>
              <w:rPr>
                <w:rFonts w:eastAsia="Calibri" w:cs="Times New Roman"/>
              </w:rPr>
            </w:pPr>
          </w:p>
        </w:tc>
        <w:tc>
          <w:tcPr>
            <w:tcW w:w="1125" w:type="dxa"/>
            <w:vAlign w:val="bottom"/>
          </w:tcPr>
          <w:p w14:paraId="0D2577A3" w14:textId="77777777" w:rsidR="00AC7FF9" w:rsidRPr="00E807A6" w:rsidRDefault="00AC7FF9" w:rsidP="002338D2">
            <w:pPr>
              <w:keepNext/>
              <w:spacing w:after="0"/>
              <w:jc w:val="right"/>
              <w:rPr>
                <w:rFonts w:eastAsia="Calibri" w:cs="Times New Roman"/>
              </w:rPr>
            </w:pPr>
            <w:r w:rsidRPr="00E807A6">
              <w:rPr>
                <w:rFonts w:eastAsia="Calibri" w:cs="Times New Roman"/>
              </w:rPr>
              <w:t>Signature:</w:t>
            </w:r>
          </w:p>
        </w:tc>
        <w:tc>
          <w:tcPr>
            <w:tcW w:w="3624" w:type="dxa"/>
            <w:tcBorders>
              <w:bottom w:val="single" w:sz="4" w:space="0" w:color="auto"/>
            </w:tcBorders>
            <w:vAlign w:val="bottom"/>
          </w:tcPr>
          <w:p w14:paraId="716B6548" w14:textId="77777777" w:rsidR="00AC7FF9" w:rsidRPr="00E807A6" w:rsidRDefault="00AC7FF9" w:rsidP="002338D2">
            <w:pPr>
              <w:keepNext/>
              <w:spacing w:after="0"/>
              <w:rPr>
                <w:rFonts w:eastAsia="Calibri" w:cs="Times New Roman"/>
              </w:rPr>
            </w:pPr>
          </w:p>
        </w:tc>
      </w:tr>
      <w:tr w:rsidR="00AC7FF9" w:rsidRPr="00E807A6" w14:paraId="42EC8379" w14:textId="77777777" w:rsidTr="002338D2">
        <w:trPr>
          <w:trHeight w:val="432"/>
        </w:trPr>
        <w:tc>
          <w:tcPr>
            <w:tcW w:w="1131" w:type="dxa"/>
            <w:vAlign w:val="bottom"/>
          </w:tcPr>
          <w:p w14:paraId="29210A57" w14:textId="77777777" w:rsidR="00AC7FF9" w:rsidRPr="00E807A6" w:rsidRDefault="00AC7FF9" w:rsidP="002338D2">
            <w:pPr>
              <w:keepNext/>
              <w:spacing w:after="0"/>
              <w:jc w:val="right"/>
              <w:rPr>
                <w:rFonts w:eastAsia="Calibri" w:cs="Times New Roman"/>
              </w:rPr>
            </w:pPr>
            <w:r w:rsidRPr="00E807A6">
              <w:rPr>
                <w:rFonts w:eastAsia="Calibri" w:cs="Times New Roman"/>
              </w:rPr>
              <w:t>Name:</w:t>
            </w:r>
          </w:p>
        </w:tc>
        <w:tc>
          <w:tcPr>
            <w:tcW w:w="3624" w:type="dxa"/>
            <w:tcBorders>
              <w:top w:val="single" w:sz="4" w:space="0" w:color="auto"/>
              <w:bottom w:val="single" w:sz="4" w:space="0" w:color="auto"/>
            </w:tcBorders>
            <w:vAlign w:val="bottom"/>
          </w:tcPr>
          <w:sdt>
            <w:sdtPr>
              <w:rPr>
                <w:rFonts w:eastAsia="Calibri" w:cs="Times New Roman"/>
                <w:highlight w:val="yellow"/>
              </w:rPr>
              <w:alias w:val="Signature Name"/>
              <w:tag w:val="txtSingnatureName"/>
              <w:id w:val="29848546"/>
              <w:lock w:val="sdtLocked"/>
              <w:placeholder>
                <w:docPart w:val="DefaultPlaceholder_-1854013440"/>
              </w:placeholder>
            </w:sdtPr>
            <w:sdtEndPr/>
            <w:sdtContent>
              <w:p w14:paraId="7396727C" w14:textId="693A6939" w:rsidR="00AC7FF9" w:rsidRPr="00E807A6" w:rsidRDefault="006E51FA" w:rsidP="002338D2">
                <w:pPr>
                  <w:keepNext/>
                  <w:spacing w:after="0"/>
                  <w:rPr>
                    <w:rFonts w:eastAsia="Calibri" w:cs="Times New Roman"/>
                  </w:rPr>
                </w:pPr>
                <w:r w:rsidRPr="006E51FA">
                  <w:rPr>
                    <w:rFonts w:eastAsia="Calibri" w:cs="Times New Roman"/>
                    <w:highlight w:val="yellow"/>
                  </w:rPr>
                  <w:t>[Name]</w:t>
                </w:r>
              </w:p>
            </w:sdtContent>
          </w:sdt>
        </w:tc>
        <w:tc>
          <w:tcPr>
            <w:tcW w:w="1125" w:type="dxa"/>
            <w:vAlign w:val="bottom"/>
          </w:tcPr>
          <w:p w14:paraId="6DB2F8CE" w14:textId="77777777" w:rsidR="00AC7FF9" w:rsidRPr="00E807A6" w:rsidRDefault="00AC7FF9" w:rsidP="002338D2">
            <w:pPr>
              <w:keepNext/>
              <w:spacing w:after="0"/>
              <w:jc w:val="right"/>
              <w:rPr>
                <w:rFonts w:eastAsia="Calibri" w:cs="Times New Roman"/>
              </w:rPr>
            </w:pPr>
            <w:r w:rsidRPr="00E807A6">
              <w:rPr>
                <w:rFonts w:eastAsia="Calibri" w:cs="Times New Roman"/>
              </w:rPr>
              <w:t>Name:</w:t>
            </w:r>
          </w:p>
        </w:tc>
        <w:tc>
          <w:tcPr>
            <w:tcW w:w="3624" w:type="dxa"/>
            <w:tcBorders>
              <w:top w:val="single" w:sz="4" w:space="0" w:color="auto"/>
              <w:bottom w:val="single" w:sz="4" w:space="0" w:color="auto"/>
            </w:tcBorders>
            <w:vAlign w:val="bottom"/>
          </w:tcPr>
          <w:p w14:paraId="05FFD71F" w14:textId="77777777" w:rsidR="00AC7FF9" w:rsidRPr="00E807A6" w:rsidRDefault="00AC7FF9" w:rsidP="002338D2">
            <w:pPr>
              <w:keepNext/>
              <w:spacing w:after="0"/>
              <w:rPr>
                <w:rFonts w:eastAsia="Calibri" w:cs="Times New Roman"/>
              </w:rPr>
            </w:pPr>
          </w:p>
        </w:tc>
      </w:tr>
      <w:tr w:rsidR="00AC7FF9" w:rsidRPr="00E807A6" w14:paraId="02A08913" w14:textId="77777777" w:rsidTr="002338D2">
        <w:trPr>
          <w:trHeight w:val="432"/>
        </w:trPr>
        <w:tc>
          <w:tcPr>
            <w:tcW w:w="1131" w:type="dxa"/>
            <w:vAlign w:val="bottom"/>
          </w:tcPr>
          <w:p w14:paraId="067C902D" w14:textId="77777777" w:rsidR="00AC7FF9" w:rsidRPr="00E807A6" w:rsidRDefault="00AC7FF9" w:rsidP="002338D2">
            <w:pPr>
              <w:keepNext/>
              <w:spacing w:after="0"/>
              <w:jc w:val="right"/>
              <w:rPr>
                <w:rFonts w:eastAsia="Calibri" w:cs="Times New Roman"/>
              </w:rPr>
            </w:pPr>
            <w:r w:rsidRPr="00E807A6">
              <w:rPr>
                <w:rFonts w:eastAsia="Calibri" w:cs="Times New Roman"/>
              </w:rPr>
              <w:t>Title:</w:t>
            </w:r>
          </w:p>
        </w:tc>
        <w:tc>
          <w:tcPr>
            <w:tcW w:w="3624" w:type="dxa"/>
            <w:tcBorders>
              <w:top w:val="single" w:sz="4" w:space="0" w:color="auto"/>
              <w:bottom w:val="single" w:sz="4" w:space="0" w:color="auto"/>
            </w:tcBorders>
            <w:vAlign w:val="bottom"/>
          </w:tcPr>
          <w:sdt>
            <w:sdtPr>
              <w:rPr>
                <w:rFonts w:eastAsia="Calibri" w:cs="Times New Roman"/>
                <w:highlight w:val="yellow"/>
              </w:rPr>
              <w:alias w:val="Signature Title"/>
              <w:tag w:val="txtSignatureTitle"/>
              <w:id w:val="-1997403168"/>
              <w:lock w:val="sdtLocked"/>
              <w:placeholder>
                <w:docPart w:val="DefaultPlaceholder_-1854013440"/>
              </w:placeholder>
            </w:sdtPr>
            <w:sdtEndPr/>
            <w:sdtContent>
              <w:p w14:paraId="73B3D24E" w14:textId="6C5643F2" w:rsidR="00AC7FF9" w:rsidRPr="00E807A6" w:rsidRDefault="006E51FA" w:rsidP="002338D2">
                <w:pPr>
                  <w:keepNext/>
                  <w:spacing w:after="0"/>
                  <w:rPr>
                    <w:rFonts w:eastAsia="Calibri" w:cs="Times New Roman"/>
                  </w:rPr>
                </w:pPr>
                <w:r w:rsidRPr="006E51FA">
                  <w:rPr>
                    <w:rFonts w:eastAsia="Calibri" w:cs="Times New Roman"/>
                    <w:highlight w:val="yellow"/>
                  </w:rPr>
                  <w:t>[Title]</w:t>
                </w:r>
              </w:p>
            </w:sdtContent>
          </w:sdt>
        </w:tc>
        <w:tc>
          <w:tcPr>
            <w:tcW w:w="1125" w:type="dxa"/>
            <w:vAlign w:val="bottom"/>
          </w:tcPr>
          <w:p w14:paraId="5497F0DF" w14:textId="77777777" w:rsidR="00AC7FF9" w:rsidRPr="00E807A6" w:rsidRDefault="00AC7FF9" w:rsidP="002338D2">
            <w:pPr>
              <w:keepNext/>
              <w:spacing w:after="0"/>
              <w:jc w:val="right"/>
              <w:rPr>
                <w:rFonts w:eastAsia="Calibri" w:cs="Times New Roman"/>
              </w:rPr>
            </w:pPr>
            <w:r w:rsidRPr="00E807A6">
              <w:rPr>
                <w:rFonts w:eastAsia="Calibri" w:cs="Times New Roman"/>
              </w:rPr>
              <w:t>Title:</w:t>
            </w:r>
          </w:p>
        </w:tc>
        <w:tc>
          <w:tcPr>
            <w:tcW w:w="3624" w:type="dxa"/>
            <w:tcBorders>
              <w:top w:val="single" w:sz="4" w:space="0" w:color="auto"/>
              <w:bottom w:val="single" w:sz="4" w:space="0" w:color="auto"/>
            </w:tcBorders>
            <w:vAlign w:val="bottom"/>
          </w:tcPr>
          <w:p w14:paraId="640082A3" w14:textId="77777777" w:rsidR="00AC7FF9" w:rsidRPr="00E807A6" w:rsidRDefault="00AC7FF9" w:rsidP="002338D2">
            <w:pPr>
              <w:keepNext/>
              <w:spacing w:after="0"/>
              <w:rPr>
                <w:rFonts w:eastAsia="Calibri" w:cs="Times New Roman"/>
              </w:rPr>
            </w:pPr>
          </w:p>
        </w:tc>
      </w:tr>
      <w:tr w:rsidR="00AC7FF9" w:rsidRPr="003214EA" w14:paraId="716CAA63" w14:textId="77777777" w:rsidTr="002338D2">
        <w:trPr>
          <w:trHeight w:val="432"/>
        </w:trPr>
        <w:tc>
          <w:tcPr>
            <w:tcW w:w="1131" w:type="dxa"/>
            <w:vAlign w:val="bottom"/>
          </w:tcPr>
          <w:p w14:paraId="63B759EB" w14:textId="77777777" w:rsidR="00AC7FF9" w:rsidRPr="00E807A6" w:rsidRDefault="00AC7FF9" w:rsidP="002338D2">
            <w:pPr>
              <w:spacing w:after="0"/>
              <w:jc w:val="right"/>
              <w:rPr>
                <w:rFonts w:eastAsia="Calibri" w:cs="Times New Roman"/>
              </w:rPr>
            </w:pPr>
            <w:r w:rsidRPr="00E807A6">
              <w:rPr>
                <w:rFonts w:eastAsia="Calibri" w:cs="Times New Roman"/>
              </w:rPr>
              <w:t>Date:</w:t>
            </w:r>
          </w:p>
        </w:tc>
        <w:tc>
          <w:tcPr>
            <w:tcW w:w="3624" w:type="dxa"/>
            <w:tcBorders>
              <w:top w:val="single" w:sz="4" w:space="0" w:color="auto"/>
              <w:bottom w:val="single" w:sz="4" w:space="0" w:color="auto"/>
            </w:tcBorders>
            <w:vAlign w:val="bottom"/>
          </w:tcPr>
          <w:sdt>
            <w:sdtPr>
              <w:rPr>
                <w:rFonts w:eastAsia="Calibri" w:cs="Times New Roman"/>
                <w:highlight w:val="yellow"/>
              </w:rPr>
              <w:alias w:val="Signature Date"/>
              <w:tag w:val="txtSignatureDate"/>
              <w:id w:val="784163934"/>
              <w:lock w:val="sdtLocked"/>
              <w:placeholder>
                <w:docPart w:val="DefaultPlaceholder_-1854013440"/>
              </w:placeholder>
            </w:sdtPr>
            <w:sdtEndPr/>
            <w:sdtContent>
              <w:p w14:paraId="0C01792C" w14:textId="25C52667" w:rsidR="00AC7FF9" w:rsidRPr="00E807A6" w:rsidRDefault="006E51FA" w:rsidP="002338D2">
                <w:pPr>
                  <w:spacing w:after="0"/>
                  <w:rPr>
                    <w:rFonts w:eastAsia="Calibri" w:cs="Times New Roman"/>
                  </w:rPr>
                </w:pPr>
                <w:r w:rsidRPr="006E51FA">
                  <w:rPr>
                    <w:rFonts w:eastAsia="Calibri" w:cs="Times New Roman"/>
                    <w:highlight w:val="yellow"/>
                  </w:rPr>
                  <w:t>[Date]</w:t>
                </w:r>
              </w:p>
            </w:sdtContent>
          </w:sdt>
        </w:tc>
        <w:tc>
          <w:tcPr>
            <w:tcW w:w="1125" w:type="dxa"/>
            <w:vAlign w:val="bottom"/>
          </w:tcPr>
          <w:p w14:paraId="2F924D93" w14:textId="77777777" w:rsidR="00AC7FF9" w:rsidRPr="003214EA" w:rsidRDefault="00AC7FF9" w:rsidP="002338D2">
            <w:pPr>
              <w:spacing w:after="0"/>
              <w:jc w:val="right"/>
              <w:rPr>
                <w:rFonts w:eastAsia="Calibri" w:cs="Times New Roman"/>
              </w:rPr>
            </w:pPr>
            <w:r w:rsidRPr="00E807A6">
              <w:rPr>
                <w:rFonts w:eastAsia="Calibri" w:cs="Times New Roman"/>
              </w:rPr>
              <w:t>Date:</w:t>
            </w:r>
          </w:p>
        </w:tc>
        <w:tc>
          <w:tcPr>
            <w:tcW w:w="3624" w:type="dxa"/>
            <w:tcBorders>
              <w:top w:val="single" w:sz="4" w:space="0" w:color="auto"/>
              <w:bottom w:val="single" w:sz="4" w:space="0" w:color="auto"/>
            </w:tcBorders>
            <w:vAlign w:val="bottom"/>
          </w:tcPr>
          <w:p w14:paraId="1AB6C9E9" w14:textId="77777777" w:rsidR="00AC7FF9" w:rsidRPr="003214EA" w:rsidRDefault="00AC7FF9" w:rsidP="002338D2">
            <w:pPr>
              <w:spacing w:after="0"/>
              <w:rPr>
                <w:rFonts w:eastAsia="Calibri" w:cs="Times New Roman"/>
              </w:rPr>
            </w:pPr>
          </w:p>
        </w:tc>
      </w:tr>
    </w:tbl>
    <w:p w14:paraId="0FB54922" w14:textId="77777777" w:rsidR="00AC7FF9" w:rsidRDefault="00AC7FF9" w:rsidP="00A65CDD">
      <w:pPr>
        <w:ind w:firstLine="720"/>
      </w:pPr>
    </w:p>
    <w:sectPr w:rsidR="00AC7FF9" w:rsidSect="00A65CD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D93F" w14:textId="77777777" w:rsidR="0092092A" w:rsidRDefault="0092092A" w:rsidP="00A65CDD">
      <w:pPr>
        <w:spacing w:after="0"/>
      </w:pPr>
      <w:r>
        <w:separator/>
      </w:r>
    </w:p>
  </w:endnote>
  <w:endnote w:type="continuationSeparator" w:id="0">
    <w:p w14:paraId="3EFDE1AD" w14:textId="77777777" w:rsidR="0092092A" w:rsidRDefault="0092092A" w:rsidP="00A65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FE5" w14:textId="77777777" w:rsidR="00060756" w:rsidRDefault="0006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AB88" w14:textId="77777777" w:rsidR="00A65CDD" w:rsidRPr="00E807A6" w:rsidRDefault="00A65CDD" w:rsidP="00A65CDD">
    <w:pPr>
      <w:pStyle w:val="Footer"/>
      <w:spacing w:after="240"/>
      <w:jc w:val="center"/>
    </w:pPr>
    <w:r w:rsidRPr="00E807A6">
      <w:fldChar w:fldCharType="begin"/>
    </w:r>
    <w:r w:rsidRPr="00E807A6">
      <w:instrText xml:space="preserve"> PAGE  \* Arabic  \* MERGEFORMAT </w:instrText>
    </w:r>
    <w:r w:rsidRPr="00E807A6">
      <w:fldChar w:fldCharType="separate"/>
    </w:r>
    <w:r w:rsidR="005D00BE" w:rsidRPr="00E807A6">
      <w:rPr>
        <w:noProof/>
      </w:rPr>
      <w:t>1</w:t>
    </w:r>
    <w:r w:rsidRPr="00E807A6">
      <w:fldChar w:fldCharType="end"/>
    </w:r>
    <w:r w:rsidRPr="00E807A6">
      <w:t xml:space="preserve"> of </w:t>
    </w:r>
    <w:r w:rsidR="00060756">
      <w:fldChar w:fldCharType="begin"/>
    </w:r>
    <w:r w:rsidR="00060756">
      <w:instrText xml:space="preserve"> NUMPAGES  \* Arabic  \* MERGEFORMAT </w:instrText>
    </w:r>
    <w:r w:rsidR="00060756">
      <w:fldChar w:fldCharType="separate"/>
    </w:r>
    <w:r w:rsidR="005D00BE" w:rsidRPr="00E807A6">
      <w:rPr>
        <w:noProof/>
      </w:rPr>
      <w:t>3</w:t>
    </w:r>
    <w:r w:rsidR="00060756">
      <w:rPr>
        <w:noProof/>
      </w:rPr>
      <w:fldChar w:fldCharType="end"/>
    </w:r>
  </w:p>
  <w:p w14:paraId="1E24AB89" w14:textId="523A5F9B" w:rsidR="00A65CDD" w:rsidRDefault="00A65CDD" w:rsidP="00A65CDD">
    <w:pPr>
      <w:spacing w:after="0"/>
      <w:rPr>
        <w:sz w:val="16"/>
        <w:szCs w:val="16"/>
      </w:rPr>
    </w:pPr>
    <w:r w:rsidRPr="00E807A6">
      <w:rPr>
        <w:sz w:val="16"/>
        <w:szCs w:val="16"/>
      </w:rPr>
      <w:t>Non-Disclosure and Use of Information Agreement – PG&amp;E/</w:t>
    </w:r>
    <w:r w:rsidR="00D265C8">
      <w:rPr>
        <w:sz w:val="16"/>
        <w:szCs w:val="16"/>
      </w:rPr>
      <w:t>Receiving Party</w:t>
    </w:r>
  </w:p>
  <w:p w14:paraId="2472A60F" w14:textId="497A97F4" w:rsidR="00F270C4" w:rsidRPr="00636547" w:rsidRDefault="00F270C4" w:rsidP="00F04B4A">
    <w:pPr>
      <w:spacing w:after="0" w:line="200" w:lineRule="exact"/>
      <w:rPr>
        <w:sz w:val="16"/>
        <w:szCs w:val="16"/>
      </w:rPr>
    </w:pPr>
    <w:r w:rsidRPr="00F04B4A">
      <w:rPr>
        <w:rStyle w:val="zzmpTrailerItem"/>
      </w:rPr>
      <w:t>https://pge-my.sharepoint.com/personal/dshi_pge_com/Documents/General/Operation/Projects/Transactions/03%20-%20Distribution%20Deferral%20Contracts\2021 DIDF Partnership Pilot_Non-Disclosure and Use of Information Agreement DH redline.docx</w:t>
    </w:r>
    <w:r w:rsidRPr="00F04B4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CACA" w14:textId="77777777" w:rsidR="00060756" w:rsidRDefault="0006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8C23" w14:textId="77777777" w:rsidR="0092092A" w:rsidRDefault="0092092A" w:rsidP="00A65CDD">
      <w:pPr>
        <w:spacing w:after="0"/>
      </w:pPr>
      <w:r>
        <w:separator/>
      </w:r>
    </w:p>
  </w:footnote>
  <w:footnote w:type="continuationSeparator" w:id="0">
    <w:p w14:paraId="2A3E6314" w14:textId="77777777" w:rsidR="0092092A" w:rsidRDefault="0092092A" w:rsidP="00A65C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993F" w14:textId="77777777" w:rsidR="00060756" w:rsidRDefault="0006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AD6" w14:textId="77777777" w:rsidR="00060756" w:rsidRDefault="0006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37D8" w14:textId="77777777" w:rsidR="00060756" w:rsidRDefault="00060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https://pge-my.sharepoint.com/personal/dshi_pge_com/Documents/General/Operation/Projects/Transactions/03%20-%20Distribution%20Deferral%20Contracts\2021 DIDF Partnership Pilot_Non-Disclosure and Use of Information Agreement DH redline.docx"/>
    <w:docVar w:name="MPDocIDTemplate" w:val="%p%n"/>
    <w:docVar w:name="MPDocIDTemplateDefault" w:val="%p%n"/>
    <w:docVar w:name="NewDocStampType" w:val="1"/>
  </w:docVars>
  <w:rsids>
    <w:rsidRoot w:val="00A65CDD"/>
    <w:rsid w:val="00020454"/>
    <w:rsid w:val="00060756"/>
    <w:rsid w:val="000A7D76"/>
    <w:rsid w:val="000C7C06"/>
    <w:rsid w:val="000E372C"/>
    <w:rsid w:val="0012411C"/>
    <w:rsid w:val="00175860"/>
    <w:rsid w:val="001A1332"/>
    <w:rsid w:val="001C78C3"/>
    <w:rsid w:val="001D1AA6"/>
    <w:rsid w:val="001D7172"/>
    <w:rsid w:val="001F0EB4"/>
    <w:rsid w:val="001F3222"/>
    <w:rsid w:val="00257730"/>
    <w:rsid w:val="002D4F20"/>
    <w:rsid w:val="002E474C"/>
    <w:rsid w:val="0030077B"/>
    <w:rsid w:val="00310268"/>
    <w:rsid w:val="00316AAF"/>
    <w:rsid w:val="003269F8"/>
    <w:rsid w:val="003A4C99"/>
    <w:rsid w:val="003A6B75"/>
    <w:rsid w:val="003A799D"/>
    <w:rsid w:val="003B0606"/>
    <w:rsid w:val="003B515E"/>
    <w:rsid w:val="003B61B4"/>
    <w:rsid w:val="003C3261"/>
    <w:rsid w:val="003D44D4"/>
    <w:rsid w:val="003E038D"/>
    <w:rsid w:val="003F41B4"/>
    <w:rsid w:val="003F518E"/>
    <w:rsid w:val="00456055"/>
    <w:rsid w:val="00491478"/>
    <w:rsid w:val="00497670"/>
    <w:rsid w:val="004A3CBC"/>
    <w:rsid w:val="004A64C0"/>
    <w:rsid w:val="004B4F3B"/>
    <w:rsid w:val="004B7969"/>
    <w:rsid w:val="004E71CE"/>
    <w:rsid w:val="004F18B7"/>
    <w:rsid w:val="005463EB"/>
    <w:rsid w:val="00547CEE"/>
    <w:rsid w:val="00553081"/>
    <w:rsid w:val="00555679"/>
    <w:rsid w:val="00561C70"/>
    <w:rsid w:val="0056643A"/>
    <w:rsid w:val="005B2EED"/>
    <w:rsid w:val="005D00BE"/>
    <w:rsid w:val="005D2A7C"/>
    <w:rsid w:val="005D3AEC"/>
    <w:rsid w:val="005D649B"/>
    <w:rsid w:val="005E1FDA"/>
    <w:rsid w:val="005F711F"/>
    <w:rsid w:val="00606C7F"/>
    <w:rsid w:val="00631199"/>
    <w:rsid w:val="0063180D"/>
    <w:rsid w:val="00675192"/>
    <w:rsid w:val="006D3B29"/>
    <w:rsid w:val="006D7233"/>
    <w:rsid w:val="006E133B"/>
    <w:rsid w:val="006E51FA"/>
    <w:rsid w:val="006F57B7"/>
    <w:rsid w:val="00722273"/>
    <w:rsid w:val="00756047"/>
    <w:rsid w:val="007822D2"/>
    <w:rsid w:val="00785A07"/>
    <w:rsid w:val="00797E75"/>
    <w:rsid w:val="007A106E"/>
    <w:rsid w:val="00851E72"/>
    <w:rsid w:val="00873B73"/>
    <w:rsid w:val="008A1E4A"/>
    <w:rsid w:val="008B0265"/>
    <w:rsid w:val="008C772D"/>
    <w:rsid w:val="008D572E"/>
    <w:rsid w:val="008D71F5"/>
    <w:rsid w:val="008F3F79"/>
    <w:rsid w:val="008F76F9"/>
    <w:rsid w:val="0092092A"/>
    <w:rsid w:val="0099065F"/>
    <w:rsid w:val="009A5B1E"/>
    <w:rsid w:val="009D4D8A"/>
    <w:rsid w:val="00A65CDD"/>
    <w:rsid w:val="00A907EF"/>
    <w:rsid w:val="00A915B2"/>
    <w:rsid w:val="00A97BA3"/>
    <w:rsid w:val="00AA5A11"/>
    <w:rsid w:val="00AC7FF9"/>
    <w:rsid w:val="00AE6040"/>
    <w:rsid w:val="00B177E4"/>
    <w:rsid w:val="00B231A3"/>
    <w:rsid w:val="00BC4AE0"/>
    <w:rsid w:val="00BD1897"/>
    <w:rsid w:val="00BE4C7D"/>
    <w:rsid w:val="00BF0104"/>
    <w:rsid w:val="00C4347E"/>
    <w:rsid w:val="00CE0472"/>
    <w:rsid w:val="00CE735C"/>
    <w:rsid w:val="00D265C8"/>
    <w:rsid w:val="00D301A8"/>
    <w:rsid w:val="00D6462C"/>
    <w:rsid w:val="00D8044C"/>
    <w:rsid w:val="00D9486A"/>
    <w:rsid w:val="00D97418"/>
    <w:rsid w:val="00DD2917"/>
    <w:rsid w:val="00DE2231"/>
    <w:rsid w:val="00E0262E"/>
    <w:rsid w:val="00E13131"/>
    <w:rsid w:val="00E51639"/>
    <w:rsid w:val="00E605C2"/>
    <w:rsid w:val="00E807A6"/>
    <w:rsid w:val="00E85181"/>
    <w:rsid w:val="00EB0CCE"/>
    <w:rsid w:val="00EC02AC"/>
    <w:rsid w:val="00ED096E"/>
    <w:rsid w:val="00ED69E2"/>
    <w:rsid w:val="00F04B4A"/>
    <w:rsid w:val="00F270C4"/>
    <w:rsid w:val="00F71D40"/>
    <w:rsid w:val="00F80F46"/>
    <w:rsid w:val="00FB53C7"/>
    <w:rsid w:val="00FD3103"/>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4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C3"/>
    <w:pPr>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DD"/>
    <w:pPr>
      <w:tabs>
        <w:tab w:val="center" w:pos="4680"/>
        <w:tab w:val="right" w:pos="9360"/>
      </w:tabs>
      <w:spacing w:after="0"/>
    </w:pPr>
  </w:style>
  <w:style w:type="character" w:customStyle="1" w:styleId="HeaderChar">
    <w:name w:val="Header Char"/>
    <w:basedOn w:val="DefaultParagraphFont"/>
    <w:link w:val="Header"/>
    <w:uiPriority w:val="99"/>
    <w:rsid w:val="00A65CDD"/>
    <w:rPr>
      <w:rFonts w:ascii="Times New Roman" w:hAnsi="Times New Roman"/>
    </w:rPr>
  </w:style>
  <w:style w:type="paragraph" w:styleId="Footer">
    <w:name w:val="footer"/>
    <w:basedOn w:val="Normal"/>
    <w:link w:val="FooterChar"/>
    <w:uiPriority w:val="99"/>
    <w:unhideWhenUsed/>
    <w:rsid w:val="00A65CDD"/>
    <w:pPr>
      <w:tabs>
        <w:tab w:val="center" w:pos="4680"/>
        <w:tab w:val="right" w:pos="9360"/>
      </w:tabs>
      <w:spacing w:after="0"/>
    </w:pPr>
  </w:style>
  <w:style w:type="character" w:customStyle="1" w:styleId="FooterChar">
    <w:name w:val="Footer Char"/>
    <w:basedOn w:val="DefaultParagraphFont"/>
    <w:link w:val="Footer"/>
    <w:uiPriority w:val="99"/>
    <w:rsid w:val="00A65CDD"/>
    <w:rPr>
      <w:rFonts w:ascii="Times New Roman" w:hAnsi="Times New Roman"/>
    </w:rPr>
  </w:style>
  <w:style w:type="table" w:styleId="TableGrid">
    <w:name w:val="Table Grid"/>
    <w:basedOn w:val="TableNormal"/>
    <w:uiPriority w:val="59"/>
    <w:rsid w:val="00A6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8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D"/>
    <w:rPr>
      <w:rFonts w:ascii="Segoe UI" w:hAnsi="Segoe UI" w:cs="Segoe UI"/>
      <w:sz w:val="18"/>
      <w:szCs w:val="18"/>
    </w:rPr>
  </w:style>
  <w:style w:type="character" w:styleId="PlaceholderText">
    <w:name w:val="Placeholder Text"/>
    <w:basedOn w:val="DefaultParagraphFont"/>
    <w:uiPriority w:val="99"/>
    <w:semiHidden/>
    <w:rsid w:val="00456055"/>
    <w:rPr>
      <w:color w:val="808080"/>
    </w:rPr>
  </w:style>
  <w:style w:type="character" w:customStyle="1" w:styleId="zzmpTrailerItem">
    <w:name w:val="zzmpTrailerItem"/>
    <w:rsid w:val="00F270C4"/>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CD6FA6-2CD7-4FAB-A95B-8428F8AE11D4}"/>
      </w:docPartPr>
      <w:docPartBody>
        <w:p w:rsidR="00B6287E" w:rsidRDefault="0037341E">
          <w:r w:rsidRPr="007A48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E"/>
    <w:rsid w:val="0037341E"/>
    <w:rsid w:val="00835BE3"/>
    <w:rsid w:val="00B6287E"/>
    <w:rsid w:val="00C7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4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1023ccf-7cb6-4ee1-9475-b660b0644bb5" ContentTypeId="0x0101" PreviousValue="true"/>
</file>

<file path=customXml/item3.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86B86-6938-44F3-A019-A4C5073F510D}">
  <ds:schemaRefs>
    <ds:schemaRef ds:uri="http://schemas.microsoft.com/sharepoint/v3/contenttype/forms"/>
  </ds:schemaRefs>
</ds:datastoreItem>
</file>

<file path=customXml/itemProps2.xml><?xml version="1.0" encoding="utf-8"?>
<ds:datastoreItem xmlns:ds="http://schemas.openxmlformats.org/officeDocument/2006/customXml" ds:itemID="{92806DA6-3790-4E81-A122-698E0D6212CF}">
  <ds:schemaRefs>
    <ds:schemaRef ds:uri="Microsoft.SharePoint.Taxonomy.ContentTypeSync"/>
  </ds:schemaRefs>
</ds:datastoreItem>
</file>

<file path=customXml/itemProps3.xml><?xml version="1.0" encoding="utf-8"?>
<ds:datastoreItem xmlns:ds="http://schemas.openxmlformats.org/officeDocument/2006/customXml" ds:itemID="{8F32684E-5587-456E-9067-D4A745A6128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352884b3-2372-4485-b964-7d2e944e6877"/>
    <ds:schemaRef ds:uri="52a836be-a005-401a-9905-42851ac38505"/>
    <ds:schemaRef ds:uri="97e57212-3e02-407f-8b2d-05f7d7f19b15"/>
    <ds:schemaRef ds:uri="http://www.w3.org/XML/1998/namespace"/>
  </ds:schemaRefs>
</ds:datastoreItem>
</file>

<file path=customXml/itemProps4.xml><?xml version="1.0" encoding="utf-8"?>
<ds:datastoreItem xmlns:ds="http://schemas.openxmlformats.org/officeDocument/2006/customXml" ds:itemID="{DAF1CA20-D07A-45A5-8B1D-9E0281C85B4E}">
  <ds:schemaRefs>
    <ds:schemaRef ds:uri="http://schemas.openxmlformats.org/officeDocument/2006/bibliography"/>
  </ds:schemaRefs>
</ds:datastoreItem>
</file>

<file path=customXml/itemProps5.xml><?xml version="1.0" encoding="utf-8"?>
<ds:datastoreItem xmlns:ds="http://schemas.openxmlformats.org/officeDocument/2006/customXml" ds:itemID="{78DF07FE-B736-4BF1-83F0-5B40FFC22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7455</Characters>
  <Application>Microsoft Office Word</Application>
  <DocSecurity>0</DocSecurity>
  <PresentationFormat>15|.DOCX</PresentationFormat>
  <Lines>745</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2017-12-06T22:23:00Z</cp:lastPrinted>
  <dcterms:created xsi:type="dcterms:W3CDTF">2024-01-09T01:12:00Z</dcterms:created>
  <dcterms:modified xsi:type="dcterms:W3CDTF">2024-01-09T01:12:00Z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SIP_Label_746d2a3f-4d51-44da-b226-f025675a294d_Enabled">
    <vt:lpwstr>true</vt:lpwstr>
  </property>
  <property fmtid="{D5CDD505-2E9C-101B-9397-08002B2CF9AE}" pid="4" name="MSIP_Label_746d2a3f-4d51-44da-b226-f025675a294d_SetDate">
    <vt:lpwstr>2024-01-09T01:12:04Z</vt:lpwstr>
  </property>
  <property fmtid="{D5CDD505-2E9C-101B-9397-08002B2CF9AE}" pid="5" name="MSIP_Label_746d2a3f-4d51-44da-b226-f025675a294d_Method">
    <vt:lpwstr>Privileged</vt:lpwstr>
  </property>
  <property fmtid="{D5CDD505-2E9C-101B-9397-08002B2CF9AE}" pid="6" name="MSIP_Label_746d2a3f-4d51-44da-b226-f025675a294d_Name">
    <vt:lpwstr>Public (No Markings)</vt:lpwstr>
  </property>
  <property fmtid="{D5CDD505-2E9C-101B-9397-08002B2CF9AE}" pid="7" name="MSIP_Label_746d2a3f-4d51-44da-b226-f025675a294d_SiteId">
    <vt:lpwstr>44ae661a-ece6-41aa-bc96-7c2c85a08941</vt:lpwstr>
  </property>
  <property fmtid="{D5CDD505-2E9C-101B-9397-08002B2CF9AE}" pid="8" name="MSIP_Label_746d2a3f-4d51-44da-b226-f025675a294d_ActionId">
    <vt:lpwstr>8101915c-1cd4-4877-8089-079156abe610</vt:lpwstr>
  </property>
  <property fmtid="{D5CDD505-2E9C-101B-9397-08002B2CF9AE}" pid="9" name="MSIP_Label_746d2a3f-4d51-44da-b226-f025675a294d_ContentBits">
    <vt:lpwstr>0</vt:lpwstr>
  </property>
</Properties>
</file>